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8D415" w14:textId="77777777" w:rsidR="00EF1D77" w:rsidRPr="00343F67" w:rsidRDefault="00EF1D77" w:rsidP="00EF1D77">
      <w:pPr>
        <w:jc w:val="right"/>
        <w:rPr>
          <w:sz w:val="48"/>
          <w:szCs w:val="48"/>
        </w:rPr>
      </w:pPr>
      <w:bookmarkStart w:id="0" w:name="_GoBack"/>
      <w:bookmarkEnd w:id="0"/>
    </w:p>
    <w:p w14:paraId="5A0D02F1" w14:textId="77777777" w:rsidR="00EF1D77" w:rsidRDefault="00EF1D77" w:rsidP="00EF1D77">
      <w:pPr>
        <w:spacing w:after="0" w:line="240" w:lineRule="auto"/>
        <w:ind w:right="540"/>
        <w:jc w:val="right"/>
        <w:rPr>
          <w:b/>
          <w:sz w:val="48"/>
          <w:szCs w:val="48"/>
        </w:rPr>
      </w:pPr>
      <w:r w:rsidRPr="002A73AB">
        <w:rPr>
          <w:noProof/>
          <w:sz w:val="20"/>
          <w:szCs w:val="20"/>
          <w:lang w:eastAsia="en-CA"/>
        </w:rPr>
        <w:drawing>
          <wp:inline distT="0" distB="0" distL="0" distR="0" wp14:anchorId="53D3DDAD" wp14:editId="01EC1769">
            <wp:extent cx="2143125" cy="726045"/>
            <wp:effectExtent l="0" t="0" r="0" b="0"/>
            <wp:docPr id="4" name="Picture 1" descr="fortis_secondary-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tis_secondary-logo_rgb"/>
                    <pic:cNvPicPr>
                      <a:picLocks noChangeAspect="1" noChangeArrowheads="1"/>
                    </pic:cNvPicPr>
                  </pic:nvPicPr>
                  <pic:blipFill>
                    <a:blip r:embed="rId11" cstate="print"/>
                    <a:stretch>
                      <a:fillRect/>
                    </a:stretch>
                  </pic:blipFill>
                  <pic:spPr bwMode="auto">
                    <a:xfrm>
                      <a:off x="0" y="0"/>
                      <a:ext cx="2143125" cy="726045"/>
                    </a:xfrm>
                    <a:prstGeom prst="rect">
                      <a:avLst/>
                    </a:prstGeom>
                    <a:noFill/>
                    <a:ln w="9525">
                      <a:noFill/>
                      <a:miter lim="800000"/>
                      <a:headEnd/>
                      <a:tailEnd/>
                    </a:ln>
                  </pic:spPr>
                </pic:pic>
              </a:graphicData>
            </a:graphic>
          </wp:inline>
        </w:drawing>
      </w:r>
    </w:p>
    <w:p w14:paraId="4036C52C" w14:textId="77777777" w:rsidR="00EF1D77" w:rsidRPr="001A5275" w:rsidRDefault="00EF1D77" w:rsidP="00EF1D77">
      <w:pPr>
        <w:spacing w:after="0" w:line="240" w:lineRule="auto"/>
        <w:jc w:val="center"/>
        <w:rPr>
          <w:b/>
          <w:color w:val="003366"/>
          <w:sz w:val="48"/>
          <w:szCs w:val="48"/>
        </w:rPr>
      </w:pPr>
    </w:p>
    <w:p w14:paraId="1036F8DC" w14:textId="77777777" w:rsidR="00EF1D77" w:rsidRDefault="00EF1D77" w:rsidP="00EF1D77">
      <w:pPr>
        <w:spacing w:after="0" w:line="240" w:lineRule="auto"/>
        <w:jc w:val="center"/>
        <w:rPr>
          <w:b/>
          <w:color w:val="003366"/>
          <w:sz w:val="48"/>
          <w:szCs w:val="48"/>
        </w:rPr>
      </w:pPr>
    </w:p>
    <w:p w14:paraId="27F5DB87" w14:textId="77777777" w:rsidR="00EF1D77" w:rsidRPr="001A5275" w:rsidRDefault="00EF1D77" w:rsidP="00EF1D77">
      <w:pPr>
        <w:spacing w:after="0" w:line="240" w:lineRule="auto"/>
        <w:jc w:val="center"/>
        <w:rPr>
          <w:b/>
          <w:color w:val="003366"/>
          <w:sz w:val="48"/>
          <w:szCs w:val="48"/>
        </w:rPr>
      </w:pPr>
    </w:p>
    <w:p w14:paraId="1DF38816" w14:textId="77777777" w:rsidR="00EF1D77" w:rsidRPr="005A70EC" w:rsidRDefault="00EF1D77" w:rsidP="00EF1D77">
      <w:pPr>
        <w:spacing w:after="0" w:line="240" w:lineRule="auto"/>
        <w:jc w:val="center"/>
        <w:rPr>
          <w:rFonts w:ascii="Arial Bold" w:hAnsi="Arial Bold"/>
          <w:b/>
          <w:smallCaps/>
          <w:color w:val="003366"/>
          <w:sz w:val="48"/>
          <w:szCs w:val="40"/>
        </w:rPr>
      </w:pPr>
      <w:r w:rsidRPr="005A70EC">
        <w:rPr>
          <w:rFonts w:ascii="Arial Bold" w:hAnsi="Arial Bold"/>
          <w:b/>
          <w:smallCaps/>
          <w:color w:val="003366"/>
          <w:sz w:val="48"/>
          <w:szCs w:val="40"/>
        </w:rPr>
        <w:t>FortisBC Inc.</w:t>
      </w:r>
    </w:p>
    <w:p w14:paraId="22B876C1" w14:textId="77777777" w:rsidR="00EF1D77" w:rsidRDefault="00EF1D77" w:rsidP="00EF1D77">
      <w:pPr>
        <w:spacing w:after="0" w:line="240" w:lineRule="auto"/>
        <w:jc w:val="center"/>
        <w:rPr>
          <w:b/>
          <w:color w:val="003366"/>
          <w:sz w:val="48"/>
          <w:szCs w:val="48"/>
        </w:rPr>
      </w:pPr>
    </w:p>
    <w:p w14:paraId="19B09DE3" w14:textId="77777777" w:rsidR="00EF1D77" w:rsidRDefault="00EF1D77" w:rsidP="00EF1D77">
      <w:pPr>
        <w:spacing w:after="0" w:line="240" w:lineRule="auto"/>
        <w:jc w:val="center"/>
        <w:rPr>
          <w:b/>
          <w:color w:val="003366"/>
          <w:sz w:val="48"/>
          <w:szCs w:val="48"/>
        </w:rPr>
      </w:pPr>
    </w:p>
    <w:p w14:paraId="27A5C3CA" w14:textId="77777777" w:rsidR="00EF1D77" w:rsidRPr="001A5275" w:rsidRDefault="00EF1D77" w:rsidP="00EF1D77">
      <w:pPr>
        <w:spacing w:after="0" w:line="240" w:lineRule="auto"/>
        <w:jc w:val="center"/>
        <w:rPr>
          <w:b/>
          <w:color w:val="003366"/>
          <w:sz w:val="48"/>
          <w:szCs w:val="48"/>
        </w:rPr>
      </w:pPr>
    </w:p>
    <w:p w14:paraId="1D54EA50" w14:textId="1DB09BD2" w:rsidR="00EF1D77" w:rsidRDefault="00EB6D75" w:rsidP="00EF1D77">
      <w:pPr>
        <w:spacing w:after="0" w:line="240" w:lineRule="auto"/>
        <w:jc w:val="center"/>
        <w:rPr>
          <w:b/>
          <w:color w:val="003366"/>
          <w:sz w:val="48"/>
          <w:szCs w:val="40"/>
        </w:rPr>
      </w:pPr>
      <w:r>
        <w:rPr>
          <w:b/>
          <w:color w:val="003366"/>
          <w:sz w:val="48"/>
          <w:szCs w:val="40"/>
        </w:rPr>
        <w:t xml:space="preserve">2014 </w:t>
      </w:r>
      <w:r w:rsidR="00EF1D77">
        <w:rPr>
          <w:b/>
          <w:color w:val="003366"/>
          <w:sz w:val="48"/>
          <w:szCs w:val="40"/>
        </w:rPr>
        <w:t xml:space="preserve">Planning Reserve Margin </w:t>
      </w:r>
      <w:r w:rsidR="00185455">
        <w:rPr>
          <w:b/>
          <w:color w:val="003366"/>
          <w:sz w:val="48"/>
          <w:szCs w:val="40"/>
        </w:rPr>
        <w:t>Studies</w:t>
      </w:r>
    </w:p>
    <w:p w14:paraId="412B4AA4" w14:textId="5E7E34E4" w:rsidR="00185455" w:rsidRDefault="00185455" w:rsidP="00EF1D77">
      <w:pPr>
        <w:spacing w:after="0" w:line="240" w:lineRule="auto"/>
        <w:jc w:val="center"/>
        <w:rPr>
          <w:b/>
          <w:color w:val="003366"/>
          <w:sz w:val="48"/>
          <w:szCs w:val="40"/>
        </w:rPr>
      </w:pPr>
      <w:r>
        <w:rPr>
          <w:b/>
          <w:color w:val="003366"/>
          <w:sz w:val="48"/>
          <w:szCs w:val="40"/>
        </w:rPr>
        <w:t>Based on 2012 Planning Year</w:t>
      </w:r>
    </w:p>
    <w:p w14:paraId="12880862" w14:textId="77777777" w:rsidR="00185455" w:rsidRDefault="00185455" w:rsidP="00EF1D77">
      <w:pPr>
        <w:spacing w:after="0" w:line="240" w:lineRule="auto"/>
        <w:jc w:val="center"/>
        <w:rPr>
          <w:b/>
          <w:color w:val="003366"/>
          <w:sz w:val="40"/>
          <w:szCs w:val="40"/>
        </w:rPr>
      </w:pPr>
    </w:p>
    <w:p w14:paraId="5DADAEF1" w14:textId="77777777" w:rsidR="00EF1D77" w:rsidRDefault="00EF1D77" w:rsidP="00EF1D77">
      <w:pPr>
        <w:spacing w:after="0" w:line="240" w:lineRule="auto"/>
        <w:jc w:val="center"/>
        <w:rPr>
          <w:b/>
          <w:color w:val="003366"/>
          <w:sz w:val="40"/>
          <w:szCs w:val="40"/>
        </w:rPr>
      </w:pPr>
    </w:p>
    <w:p w14:paraId="6B1D3003" w14:textId="77777777" w:rsidR="00EF1D77" w:rsidRDefault="00EF1D77" w:rsidP="00EF1D77">
      <w:pPr>
        <w:spacing w:after="0" w:line="240" w:lineRule="auto"/>
        <w:jc w:val="center"/>
        <w:rPr>
          <w:b/>
          <w:color w:val="003366"/>
          <w:sz w:val="40"/>
          <w:szCs w:val="40"/>
        </w:rPr>
      </w:pPr>
    </w:p>
    <w:p w14:paraId="59C7C279" w14:textId="77777777" w:rsidR="00EF1D77" w:rsidRDefault="00EF1D77" w:rsidP="00EF1D77">
      <w:pPr>
        <w:spacing w:after="0" w:line="240" w:lineRule="auto"/>
        <w:jc w:val="center"/>
        <w:rPr>
          <w:b/>
          <w:color w:val="003366"/>
          <w:sz w:val="40"/>
          <w:szCs w:val="40"/>
        </w:rPr>
      </w:pPr>
    </w:p>
    <w:p w14:paraId="5F7C7EA3" w14:textId="77777777" w:rsidR="00EF1D77" w:rsidRDefault="00EF1D77" w:rsidP="00EF1D77">
      <w:pPr>
        <w:spacing w:after="0" w:line="240" w:lineRule="auto"/>
        <w:jc w:val="center"/>
        <w:rPr>
          <w:b/>
          <w:color w:val="003366"/>
          <w:sz w:val="40"/>
          <w:szCs w:val="40"/>
        </w:rPr>
      </w:pPr>
    </w:p>
    <w:p w14:paraId="46131585" w14:textId="77777777" w:rsidR="00EF1D77" w:rsidRDefault="00EF1D77" w:rsidP="00EF1D77">
      <w:pPr>
        <w:spacing w:after="0" w:line="240" w:lineRule="auto"/>
        <w:jc w:val="center"/>
        <w:rPr>
          <w:b/>
          <w:color w:val="003366"/>
          <w:sz w:val="40"/>
          <w:szCs w:val="40"/>
        </w:rPr>
      </w:pPr>
    </w:p>
    <w:p w14:paraId="652D7524" w14:textId="77777777" w:rsidR="00EF1D77" w:rsidRDefault="00EF1D77" w:rsidP="00EF1D77">
      <w:pPr>
        <w:spacing w:after="0" w:line="240" w:lineRule="auto"/>
        <w:jc w:val="center"/>
        <w:rPr>
          <w:b/>
          <w:color w:val="003366"/>
          <w:sz w:val="40"/>
          <w:szCs w:val="40"/>
        </w:rPr>
      </w:pPr>
    </w:p>
    <w:p w14:paraId="1BF3E083" w14:textId="77777777" w:rsidR="00EF1D77" w:rsidRDefault="00EF1D77" w:rsidP="00EF1D77">
      <w:pPr>
        <w:spacing w:after="0" w:line="240" w:lineRule="auto"/>
        <w:jc w:val="center"/>
        <w:rPr>
          <w:b/>
          <w:color w:val="003366"/>
          <w:sz w:val="40"/>
          <w:szCs w:val="40"/>
        </w:rPr>
      </w:pPr>
    </w:p>
    <w:p w14:paraId="75F8D3C9" w14:textId="77777777" w:rsidR="00EF1D77" w:rsidRDefault="00EF1D77" w:rsidP="00EF1D77">
      <w:pPr>
        <w:spacing w:after="0" w:line="240" w:lineRule="auto"/>
        <w:jc w:val="center"/>
        <w:rPr>
          <w:b/>
          <w:color w:val="003366"/>
          <w:sz w:val="40"/>
          <w:szCs w:val="40"/>
        </w:rPr>
      </w:pPr>
    </w:p>
    <w:p w14:paraId="1D3CDB65" w14:textId="77777777" w:rsidR="00EF1D77" w:rsidRDefault="00EF1D77" w:rsidP="00EF1D77">
      <w:pPr>
        <w:pStyle w:val="Heading1"/>
        <w:sectPr w:rsidR="00EF1D77" w:rsidSect="008017D0">
          <w:pgSz w:w="12240" w:h="15840"/>
          <w:pgMar w:top="1440" w:right="1440" w:bottom="1440" w:left="1440" w:header="708" w:footer="708" w:gutter="0"/>
          <w:pgBorders w:offsetFrom="page">
            <w:top w:val="thickThinSmallGap" w:sz="24" w:space="24" w:color="0000CC"/>
            <w:left w:val="thickThinSmallGap" w:sz="24" w:space="24" w:color="0000CC"/>
            <w:bottom w:val="thinThickSmallGap" w:sz="24" w:space="24" w:color="0000CC"/>
            <w:right w:val="thinThickSmallGap" w:sz="24" w:space="24" w:color="0000CC"/>
          </w:pgBorders>
          <w:cols w:space="708"/>
          <w:docGrid w:linePitch="360"/>
        </w:sectPr>
      </w:pPr>
    </w:p>
    <w:p w14:paraId="42B98011" w14:textId="77777777" w:rsidR="00EF1D77" w:rsidRPr="005E7F4F" w:rsidRDefault="00EF1D77" w:rsidP="00EF1D77">
      <w:pPr>
        <w:pStyle w:val="TOCHeading"/>
      </w:pPr>
      <w:r w:rsidRPr="005E7F4F">
        <w:lastRenderedPageBreak/>
        <w:t>Table of Contents</w:t>
      </w:r>
    </w:p>
    <w:p w14:paraId="6172E5DD" w14:textId="77777777" w:rsidR="00EF1D77" w:rsidRDefault="00EF1D77" w:rsidP="00EF1D77"/>
    <w:p w14:paraId="4018A87F" w14:textId="77777777" w:rsidR="00E67133" w:rsidRDefault="00EF1D77">
      <w:pPr>
        <w:pStyle w:val="TOC1"/>
        <w:rPr>
          <w:rFonts w:asciiTheme="minorHAnsi" w:eastAsiaTheme="minorEastAsia" w:hAnsiTheme="minorHAnsi"/>
          <w:b w:val="0"/>
          <w:caps w:val="0"/>
          <w:color w:val="auto"/>
          <w:sz w:val="22"/>
          <w:lang w:eastAsia="en-CA"/>
        </w:rPr>
      </w:pPr>
      <w:r>
        <w:fldChar w:fldCharType="begin"/>
      </w:r>
      <w:r>
        <w:instrText xml:space="preserve"> TOC \o "1-3" \h \z \u </w:instrText>
      </w:r>
      <w:r>
        <w:fldChar w:fldCharType="separate"/>
      </w:r>
      <w:hyperlink w:anchor="_Toc426649337" w:history="1">
        <w:r w:rsidR="00E67133" w:rsidRPr="00B70182">
          <w:rPr>
            <w:rStyle w:val="Hyperlink"/>
          </w:rPr>
          <w:t>Executive Summary</w:t>
        </w:r>
        <w:r w:rsidR="00E67133">
          <w:rPr>
            <w:webHidden/>
          </w:rPr>
          <w:tab/>
        </w:r>
        <w:r w:rsidR="00E67133">
          <w:rPr>
            <w:webHidden/>
          </w:rPr>
          <w:fldChar w:fldCharType="begin"/>
        </w:r>
        <w:r w:rsidR="00E67133">
          <w:rPr>
            <w:webHidden/>
          </w:rPr>
          <w:instrText xml:space="preserve"> PAGEREF _Toc426649337 \h </w:instrText>
        </w:r>
        <w:r w:rsidR="00E67133">
          <w:rPr>
            <w:webHidden/>
          </w:rPr>
        </w:r>
        <w:r w:rsidR="00E67133">
          <w:rPr>
            <w:webHidden/>
          </w:rPr>
          <w:fldChar w:fldCharType="separate"/>
        </w:r>
        <w:r w:rsidR="00E67133">
          <w:rPr>
            <w:webHidden/>
          </w:rPr>
          <w:t>1</w:t>
        </w:r>
        <w:r w:rsidR="00E67133">
          <w:rPr>
            <w:webHidden/>
          </w:rPr>
          <w:fldChar w:fldCharType="end"/>
        </w:r>
      </w:hyperlink>
    </w:p>
    <w:p w14:paraId="0D04D659" w14:textId="77777777" w:rsidR="00E67133" w:rsidRDefault="00780B28">
      <w:pPr>
        <w:pStyle w:val="TOC1"/>
        <w:rPr>
          <w:rFonts w:asciiTheme="minorHAnsi" w:eastAsiaTheme="minorEastAsia" w:hAnsiTheme="minorHAnsi"/>
          <w:b w:val="0"/>
          <w:caps w:val="0"/>
          <w:color w:val="auto"/>
          <w:sz w:val="22"/>
          <w:lang w:eastAsia="en-CA"/>
        </w:rPr>
      </w:pPr>
      <w:hyperlink w:anchor="_Toc426649338" w:history="1">
        <w:r w:rsidR="00E67133" w:rsidRPr="00B70182">
          <w:rPr>
            <w:rStyle w:val="Hyperlink"/>
          </w:rPr>
          <w:t>1.</w:t>
        </w:r>
        <w:r w:rsidR="00E67133">
          <w:rPr>
            <w:rFonts w:asciiTheme="minorHAnsi" w:eastAsiaTheme="minorEastAsia" w:hAnsiTheme="minorHAnsi"/>
            <w:b w:val="0"/>
            <w:caps w:val="0"/>
            <w:color w:val="auto"/>
            <w:sz w:val="22"/>
            <w:lang w:eastAsia="en-CA"/>
          </w:rPr>
          <w:tab/>
        </w:r>
        <w:r w:rsidR="00E67133" w:rsidRPr="00B70182">
          <w:rPr>
            <w:rStyle w:val="Hyperlink"/>
          </w:rPr>
          <w:t>Overview of Planning Reserve Margin</w:t>
        </w:r>
        <w:r w:rsidR="00E67133">
          <w:rPr>
            <w:webHidden/>
          </w:rPr>
          <w:tab/>
        </w:r>
        <w:r w:rsidR="00E67133">
          <w:rPr>
            <w:webHidden/>
          </w:rPr>
          <w:fldChar w:fldCharType="begin"/>
        </w:r>
        <w:r w:rsidR="00E67133">
          <w:rPr>
            <w:webHidden/>
          </w:rPr>
          <w:instrText xml:space="preserve"> PAGEREF _Toc426649338 \h </w:instrText>
        </w:r>
        <w:r w:rsidR="00E67133">
          <w:rPr>
            <w:webHidden/>
          </w:rPr>
        </w:r>
        <w:r w:rsidR="00E67133">
          <w:rPr>
            <w:webHidden/>
          </w:rPr>
          <w:fldChar w:fldCharType="separate"/>
        </w:r>
        <w:r w:rsidR="00E67133">
          <w:rPr>
            <w:webHidden/>
          </w:rPr>
          <w:t>3</w:t>
        </w:r>
        <w:r w:rsidR="00E67133">
          <w:rPr>
            <w:webHidden/>
          </w:rPr>
          <w:fldChar w:fldCharType="end"/>
        </w:r>
      </w:hyperlink>
    </w:p>
    <w:p w14:paraId="0D9FCF61" w14:textId="77777777" w:rsidR="00E67133" w:rsidRDefault="00780B28">
      <w:pPr>
        <w:pStyle w:val="TOC2"/>
        <w:rPr>
          <w:rFonts w:asciiTheme="minorHAnsi" w:eastAsiaTheme="minorEastAsia" w:hAnsiTheme="minorHAnsi"/>
          <w:b w:val="0"/>
          <w:lang w:eastAsia="en-CA"/>
        </w:rPr>
      </w:pPr>
      <w:hyperlink w:anchor="_Toc426649339" w:history="1">
        <w:r w:rsidR="00E67133" w:rsidRPr="00B70182">
          <w:rPr>
            <w:rStyle w:val="Hyperlink"/>
          </w:rPr>
          <w:t>1.1</w:t>
        </w:r>
        <w:r w:rsidR="00E67133">
          <w:rPr>
            <w:rFonts w:asciiTheme="minorHAnsi" w:eastAsiaTheme="minorEastAsia" w:hAnsiTheme="minorHAnsi"/>
            <w:b w:val="0"/>
            <w:lang w:eastAsia="en-CA"/>
          </w:rPr>
          <w:tab/>
        </w:r>
        <w:r w:rsidR="00E67133" w:rsidRPr="00B70182">
          <w:rPr>
            <w:rStyle w:val="Hyperlink"/>
          </w:rPr>
          <w:t>Planning Reserve Margin Terminologies</w:t>
        </w:r>
        <w:r w:rsidR="00E67133">
          <w:rPr>
            <w:webHidden/>
          </w:rPr>
          <w:tab/>
        </w:r>
        <w:r w:rsidR="00E67133">
          <w:rPr>
            <w:webHidden/>
          </w:rPr>
          <w:fldChar w:fldCharType="begin"/>
        </w:r>
        <w:r w:rsidR="00E67133">
          <w:rPr>
            <w:webHidden/>
          </w:rPr>
          <w:instrText xml:space="preserve"> PAGEREF _Toc426649339 \h </w:instrText>
        </w:r>
        <w:r w:rsidR="00E67133">
          <w:rPr>
            <w:webHidden/>
          </w:rPr>
        </w:r>
        <w:r w:rsidR="00E67133">
          <w:rPr>
            <w:webHidden/>
          </w:rPr>
          <w:fldChar w:fldCharType="separate"/>
        </w:r>
        <w:r w:rsidR="00E67133">
          <w:rPr>
            <w:webHidden/>
          </w:rPr>
          <w:t>3</w:t>
        </w:r>
        <w:r w:rsidR="00E67133">
          <w:rPr>
            <w:webHidden/>
          </w:rPr>
          <w:fldChar w:fldCharType="end"/>
        </w:r>
      </w:hyperlink>
    </w:p>
    <w:p w14:paraId="46E374CF" w14:textId="77777777" w:rsidR="00E67133" w:rsidRDefault="00780B28">
      <w:pPr>
        <w:pStyle w:val="TOC2"/>
        <w:rPr>
          <w:rFonts w:asciiTheme="minorHAnsi" w:eastAsiaTheme="minorEastAsia" w:hAnsiTheme="minorHAnsi"/>
          <w:b w:val="0"/>
          <w:lang w:eastAsia="en-CA"/>
        </w:rPr>
      </w:pPr>
      <w:hyperlink w:anchor="_Toc426649340" w:history="1">
        <w:r w:rsidR="00E67133" w:rsidRPr="00B70182">
          <w:rPr>
            <w:rStyle w:val="Hyperlink"/>
          </w:rPr>
          <w:t>1.2</w:t>
        </w:r>
        <w:r w:rsidR="00E67133">
          <w:rPr>
            <w:rFonts w:asciiTheme="minorHAnsi" w:eastAsiaTheme="minorEastAsia" w:hAnsiTheme="minorHAnsi"/>
            <w:b w:val="0"/>
            <w:lang w:eastAsia="en-CA"/>
          </w:rPr>
          <w:tab/>
        </w:r>
        <w:r w:rsidR="00E67133" w:rsidRPr="00B70182">
          <w:rPr>
            <w:rStyle w:val="Hyperlink"/>
          </w:rPr>
          <w:t>Resource Adequacy Metrics</w:t>
        </w:r>
        <w:r w:rsidR="00E67133">
          <w:rPr>
            <w:webHidden/>
          </w:rPr>
          <w:tab/>
        </w:r>
        <w:r w:rsidR="00E67133">
          <w:rPr>
            <w:webHidden/>
          </w:rPr>
          <w:fldChar w:fldCharType="begin"/>
        </w:r>
        <w:r w:rsidR="00E67133">
          <w:rPr>
            <w:webHidden/>
          </w:rPr>
          <w:instrText xml:space="preserve"> PAGEREF _Toc426649340 \h </w:instrText>
        </w:r>
        <w:r w:rsidR="00E67133">
          <w:rPr>
            <w:webHidden/>
          </w:rPr>
        </w:r>
        <w:r w:rsidR="00E67133">
          <w:rPr>
            <w:webHidden/>
          </w:rPr>
          <w:fldChar w:fldCharType="separate"/>
        </w:r>
        <w:r w:rsidR="00E67133">
          <w:rPr>
            <w:webHidden/>
          </w:rPr>
          <w:t>6</w:t>
        </w:r>
        <w:r w:rsidR="00E67133">
          <w:rPr>
            <w:webHidden/>
          </w:rPr>
          <w:fldChar w:fldCharType="end"/>
        </w:r>
      </w:hyperlink>
    </w:p>
    <w:p w14:paraId="1F05085C" w14:textId="77777777" w:rsidR="00E67133" w:rsidRDefault="00780B28">
      <w:pPr>
        <w:pStyle w:val="TOC2"/>
        <w:rPr>
          <w:rFonts w:asciiTheme="minorHAnsi" w:eastAsiaTheme="minorEastAsia" w:hAnsiTheme="minorHAnsi"/>
          <w:b w:val="0"/>
          <w:lang w:eastAsia="en-CA"/>
        </w:rPr>
      </w:pPr>
      <w:hyperlink w:anchor="_Toc426649341" w:history="1">
        <w:r w:rsidR="00E67133" w:rsidRPr="00B70182">
          <w:rPr>
            <w:rStyle w:val="Hyperlink"/>
          </w:rPr>
          <w:t>1.3</w:t>
        </w:r>
        <w:r w:rsidR="00E67133">
          <w:rPr>
            <w:rFonts w:asciiTheme="minorHAnsi" w:eastAsiaTheme="minorEastAsia" w:hAnsiTheme="minorHAnsi"/>
            <w:b w:val="0"/>
            <w:lang w:eastAsia="en-CA"/>
          </w:rPr>
          <w:tab/>
        </w:r>
        <w:r w:rsidR="00E67133" w:rsidRPr="00B70182">
          <w:rPr>
            <w:rStyle w:val="Hyperlink"/>
          </w:rPr>
          <w:t>Methods to Determine PRM</w:t>
        </w:r>
        <w:r w:rsidR="00E67133">
          <w:rPr>
            <w:webHidden/>
          </w:rPr>
          <w:tab/>
        </w:r>
        <w:r w:rsidR="00E67133">
          <w:rPr>
            <w:webHidden/>
          </w:rPr>
          <w:fldChar w:fldCharType="begin"/>
        </w:r>
        <w:r w:rsidR="00E67133">
          <w:rPr>
            <w:webHidden/>
          </w:rPr>
          <w:instrText xml:space="preserve"> PAGEREF _Toc426649341 \h </w:instrText>
        </w:r>
        <w:r w:rsidR="00E67133">
          <w:rPr>
            <w:webHidden/>
          </w:rPr>
        </w:r>
        <w:r w:rsidR="00E67133">
          <w:rPr>
            <w:webHidden/>
          </w:rPr>
          <w:fldChar w:fldCharType="separate"/>
        </w:r>
        <w:r w:rsidR="00E67133">
          <w:rPr>
            <w:webHidden/>
          </w:rPr>
          <w:t>7</w:t>
        </w:r>
        <w:r w:rsidR="00E67133">
          <w:rPr>
            <w:webHidden/>
          </w:rPr>
          <w:fldChar w:fldCharType="end"/>
        </w:r>
      </w:hyperlink>
    </w:p>
    <w:p w14:paraId="1F1E7F20" w14:textId="77777777" w:rsidR="00E67133" w:rsidRDefault="00780B28">
      <w:pPr>
        <w:pStyle w:val="TOC3"/>
        <w:rPr>
          <w:i w:val="0"/>
          <w:lang w:val="en-CA" w:eastAsia="en-CA"/>
        </w:rPr>
      </w:pPr>
      <w:hyperlink w:anchor="_Toc426649342" w:history="1">
        <w:r w:rsidR="00E67133" w:rsidRPr="00B70182">
          <w:rPr>
            <w:rStyle w:val="Hyperlink"/>
          </w:rPr>
          <w:t>1.3.1</w:t>
        </w:r>
        <w:r w:rsidR="00E67133">
          <w:rPr>
            <w:i w:val="0"/>
            <w:lang w:val="en-CA" w:eastAsia="en-CA"/>
          </w:rPr>
          <w:tab/>
        </w:r>
        <w:r w:rsidR="00E67133" w:rsidRPr="00B70182">
          <w:rPr>
            <w:rStyle w:val="Hyperlink"/>
          </w:rPr>
          <w:t>Simple rule-based approach</w:t>
        </w:r>
        <w:r w:rsidR="00E67133">
          <w:rPr>
            <w:webHidden/>
          </w:rPr>
          <w:tab/>
        </w:r>
        <w:r w:rsidR="00E67133">
          <w:rPr>
            <w:webHidden/>
          </w:rPr>
          <w:fldChar w:fldCharType="begin"/>
        </w:r>
        <w:r w:rsidR="00E67133">
          <w:rPr>
            <w:webHidden/>
          </w:rPr>
          <w:instrText xml:space="preserve"> PAGEREF _Toc426649342 \h </w:instrText>
        </w:r>
        <w:r w:rsidR="00E67133">
          <w:rPr>
            <w:webHidden/>
          </w:rPr>
        </w:r>
        <w:r w:rsidR="00E67133">
          <w:rPr>
            <w:webHidden/>
          </w:rPr>
          <w:fldChar w:fldCharType="separate"/>
        </w:r>
        <w:r w:rsidR="00E67133">
          <w:rPr>
            <w:webHidden/>
          </w:rPr>
          <w:t>7</w:t>
        </w:r>
        <w:r w:rsidR="00E67133">
          <w:rPr>
            <w:webHidden/>
          </w:rPr>
          <w:fldChar w:fldCharType="end"/>
        </w:r>
      </w:hyperlink>
    </w:p>
    <w:p w14:paraId="6FFFAFF6" w14:textId="77777777" w:rsidR="00E67133" w:rsidRDefault="00780B28">
      <w:pPr>
        <w:pStyle w:val="TOC3"/>
        <w:rPr>
          <w:i w:val="0"/>
          <w:lang w:val="en-CA" w:eastAsia="en-CA"/>
        </w:rPr>
      </w:pPr>
      <w:hyperlink w:anchor="_Toc426649343" w:history="1">
        <w:r w:rsidR="00E67133" w:rsidRPr="00B70182">
          <w:rPr>
            <w:rStyle w:val="Hyperlink"/>
          </w:rPr>
          <w:t>1.3.2</w:t>
        </w:r>
        <w:r w:rsidR="00E67133">
          <w:rPr>
            <w:i w:val="0"/>
            <w:lang w:val="en-CA" w:eastAsia="en-CA"/>
          </w:rPr>
          <w:tab/>
        </w:r>
        <w:r w:rsidR="00E67133" w:rsidRPr="00B70182">
          <w:rPr>
            <w:rStyle w:val="Hyperlink"/>
          </w:rPr>
          <w:t>Probabilistic approach</w:t>
        </w:r>
        <w:r w:rsidR="00E67133">
          <w:rPr>
            <w:webHidden/>
          </w:rPr>
          <w:tab/>
        </w:r>
        <w:r w:rsidR="00E67133">
          <w:rPr>
            <w:webHidden/>
          </w:rPr>
          <w:fldChar w:fldCharType="begin"/>
        </w:r>
        <w:r w:rsidR="00E67133">
          <w:rPr>
            <w:webHidden/>
          </w:rPr>
          <w:instrText xml:space="preserve"> PAGEREF _Toc426649343 \h </w:instrText>
        </w:r>
        <w:r w:rsidR="00E67133">
          <w:rPr>
            <w:webHidden/>
          </w:rPr>
        </w:r>
        <w:r w:rsidR="00E67133">
          <w:rPr>
            <w:webHidden/>
          </w:rPr>
          <w:fldChar w:fldCharType="separate"/>
        </w:r>
        <w:r w:rsidR="00E67133">
          <w:rPr>
            <w:webHidden/>
          </w:rPr>
          <w:t>8</w:t>
        </w:r>
        <w:r w:rsidR="00E67133">
          <w:rPr>
            <w:webHidden/>
          </w:rPr>
          <w:fldChar w:fldCharType="end"/>
        </w:r>
      </w:hyperlink>
    </w:p>
    <w:p w14:paraId="3F0E5931" w14:textId="77777777" w:rsidR="00E67133" w:rsidRDefault="00780B28">
      <w:pPr>
        <w:pStyle w:val="TOC3"/>
        <w:rPr>
          <w:i w:val="0"/>
          <w:lang w:val="en-CA" w:eastAsia="en-CA"/>
        </w:rPr>
      </w:pPr>
      <w:hyperlink w:anchor="_Toc426649344" w:history="1">
        <w:r w:rsidR="00E67133" w:rsidRPr="00B70182">
          <w:rPr>
            <w:rStyle w:val="Hyperlink"/>
          </w:rPr>
          <w:t>1.3.3</w:t>
        </w:r>
        <w:r w:rsidR="00E67133">
          <w:rPr>
            <w:i w:val="0"/>
            <w:lang w:val="en-CA" w:eastAsia="en-CA"/>
          </w:rPr>
          <w:tab/>
        </w:r>
        <w:r w:rsidR="00E67133" w:rsidRPr="00B70182">
          <w:rPr>
            <w:rStyle w:val="Hyperlink"/>
          </w:rPr>
          <w:t>FBC’s Method to Determine PRM</w:t>
        </w:r>
        <w:r w:rsidR="00E67133">
          <w:rPr>
            <w:webHidden/>
          </w:rPr>
          <w:tab/>
        </w:r>
        <w:r w:rsidR="00E67133">
          <w:rPr>
            <w:webHidden/>
          </w:rPr>
          <w:fldChar w:fldCharType="begin"/>
        </w:r>
        <w:r w:rsidR="00E67133">
          <w:rPr>
            <w:webHidden/>
          </w:rPr>
          <w:instrText xml:space="preserve"> PAGEREF _Toc426649344 \h </w:instrText>
        </w:r>
        <w:r w:rsidR="00E67133">
          <w:rPr>
            <w:webHidden/>
          </w:rPr>
        </w:r>
        <w:r w:rsidR="00E67133">
          <w:rPr>
            <w:webHidden/>
          </w:rPr>
          <w:fldChar w:fldCharType="separate"/>
        </w:r>
        <w:r w:rsidR="00E67133">
          <w:rPr>
            <w:webHidden/>
          </w:rPr>
          <w:t>9</w:t>
        </w:r>
        <w:r w:rsidR="00E67133">
          <w:rPr>
            <w:webHidden/>
          </w:rPr>
          <w:fldChar w:fldCharType="end"/>
        </w:r>
      </w:hyperlink>
    </w:p>
    <w:p w14:paraId="24808B23" w14:textId="77777777" w:rsidR="00E67133" w:rsidRDefault="00780B28">
      <w:pPr>
        <w:pStyle w:val="TOC1"/>
        <w:rPr>
          <w:rFonts w:asciiTheme="minorHAnsi" w:eastAsiaTheme="minorEastAsia" w:hAnsiTheme="minorHAnsi"/>
          <w:b w:val="0"/>
          <w:caps w:val="0"/>
          <w:color w:val="auto"/>
          <w:sz w:val="22"/>
          <w:lang w:eastAsia="en-CA"/>
        </w:rPr>
      </w:pPr>
      <w:hyperlink w:anchor="_Toc426649345" w:history="1">
        <w:r w:rsidR="00E67133" w:rsidRPr="00B70182">
          <w:rPr>
            <w:rStyle w:val="Hyperlink"/>
          </w:rPr>
          <w:t>2.</w:t>
        </w:r>
        <w:r w:rsidR="00E67133">
          <w:rPr>
            <w:rFonts w:asciiTheme="minorHAnsi" w:eastAsiaTheme="minorEastAsia" w:hAnsiTheme="minorHAnsi"/>
            <w:b w:val="0"/>
            <w:caps w:val="0"/>
            <w:color w:val="auto"/>
            <w:sz w:val="22"/>
            <w:lang w:eastAsia="en-CA"/>
          </w:rPr>
          <w:tab/>
        </w:r>
        <w:r w:rsidR="00E67133" w:rsidRPr="00B70182">
          <w:rPr>
            <w:rStyle w:val="Hyperlink"/>
          </w:rPr>
          <w:t>Overview of THE FortisBC Operating Environment</w:t>
        </w:r>
        <w:r w:rsidR="00E67133">
          <w:rPr>
            <w:webHidden/>
          </w:rPr>
          <w:tab/>
        </w:r>
        <w:r w:rsidR="00E67133">
          <w:rPr>
            <w:webHidden/>
          </w:rPr>
          <w:fldChar w:fldCharType="begin"/>
        </w:r>
        <w:r w:rsidR="00E67133">
          <w:rPr>
            <w:webHidden/>
          </w:rPr>
          <w:instrText xml:space="preserve"> PAGEREF _Toc426649345 \h </w:instrText>
        </w:r>
        <w:r w:rsidR="00E67133">
          <w:rPr>
            <w:webHidden/>
          </w:rPr>
        </w:r>
        <w:r w:rsidR="00E67133">
          <w:rPr>
            <w:webHidden/>
          </w:rPr>
          <w:fldChar w:fldCharType="separate"/>
        </w:r>
        <w:r w:rsidR="00E67133">
          <w:rPr>
            <w:webHidden/>
          </w:rPr>
          <w:t>9</w:t>
        </w:r>
        <w:r w:rsidR="00E67133">
          <w:rPr>
            <w:webHidden/>
          </w:rPr>
          <w:fldChar w:fldCharType="end"/>
        </w:r>
      </w:hyperlink>
    </w:p>
    <w:p w14:paraId="72668B7D" w14:textId="77777777" w:rsidR="00E67133" w:rsidRDefault="00780B28">
      <w:pPr>
        <w:pStyle w:val="TOC2"/>
        <w:rPr>
          <w:rFonts w:asciiTheme="minorHAnsi" w:eastAsiaTheme="minorEastAsia" w:hAnsiTheme="minorHAnsi"/>
          <w:b w:val="0"/>
          <w:lang w:eastAsia="en-CA"/>
        </w:rPr>
      </w:pPr>
      <w:hyperlink w:anchor="_Toc426649346" w:history="1">
        <w:r w:rsidR="00E67133" w:rsidRPr="00B70182">
          <w:rPr>
            <w:rStyle w:val="Hyperlink"/>
          </w:rPr>
          <w:t>2.1</w:t>
        </w:r>
        <w:r w:rsidR="00E67133">
          <w:rPr>
            <w:rFonts w:asciiTheme="minorHAnsi" w:eastAsiaTheme="minorEastAsia" w:hAnsiTheme="minorHAnsi"/>
            <w:b w:val="0"/>
            <w:lang w:eastAsia="en-CA"/>
          </w:rPr>
          <w:tab/>
        </w:r>
        <w:r w:rsidR="00E67133" w:rsidRPr="00B70182">
          <w:rPr>
            <w:rStyle w:val="Hyperlink"/>
          </w:rPr>
          <w:t>FortisBC Resource Stack</w:t>
        </w:r>
        <w:r w:rsidR="00E67133">
          <w:rPr>
            <w:webHidden/>
          </w:rPr>
          <w:tab/>
        </w:r>
        <w:r w:rsidR="00E67133">
          <w:rPr>
            <w:webHidden/>
          </w:rPr>
          <w:fldChar w:fldCharType="begin"/>
        </w:r>
        <w:r w:rsidR="00E67133">
          <w:rPr>
            <w:webHidden/>
          </w:rPr>
          <w:instrText xml:space="preserve"> PAGEREF _Toc426649346 \h </w:instrText>
        </w:r>
        <w:r w:rsidR="00E67133">
          <w:rPr>
            <w:webHidden/>
          </w:rPr>
        </w:r>
        <w:r w:rsidR="00E67133">
          <w:rPr>
            <w:webHidden/>
          </w:rPr>
          <w:fldChar w:fldCharType="separate"/>
        </w:r>
        <w:r w:rsidR="00E67133">
          <w:rPr>
            <w:webHidden/>
          </w:rPr>
          <w:t>9</w:t>
        </w:r>
        <w:r w:rsidR="00E67133">
          <w:rPr>
            <w:webHidden/>
          </w:rPr>
          <w:fldChar w:fldCharType="end"/>
        </w:r>
      </w:hyperlink>
    </w:p>
    <w:p w14:paraId="63022914" w14:textId="77777777" w:rsidR="00E67133" w:rsidRDefault="00780B28">
      <w:pPr>
        <w:pStyle w:val="TOC3"/>
        <w:rPr>
          <w:i w:val="0"/>
          <w:lang w:val="en-CA" w:eastAsia="en-CA"/>
        </w:rPr>
      </w:pPr>
      <w:hyperlink w:anchor="_Toc426649347" w:history="1">
        <w:r w:rsidR="00E67133" w:rsidRPr="00B70182">
          <w:rPr>
            <w:rStyle w:val="Hyperlink"/>
          </w:rPr>
          <w:t>2.1.1</w:t>
        </w:r>
        <w:r w:rsidR="00E67133">
          <w:rPr>
            <w:i w:val="0"/>
            <w:lang w:val="en-CA" w:eastAsia="en-CA"/>
          </w:rPr>
          <w:tab/>
        </w:r>
        <w:r w:rsidR="00E67133" w:rsidRPr="00B70182">
          <w:rPr>
            <w:rStyle w:val="Hyperlink"/>
          </w:rPr>
          <w:t>CPA Entitlement</w:t>
        </w:r>
        <w:r w:rsidR="00E67133">
          <w:rPr>
            <w:webHidden/>
          </w:rPr>
          <w:tab/>
        </w:r>
        <w:r w:rsidR="00E67133">
          <w:rPr>
            <w:webHidden/>
          </w:rPr>
          <w:fldChar w:fldCharType="begin"/>
        </w:r>
        <w:r w:rsidR="00E67133">
          <w:rPr>
            <w:webHidden/>
          </w:rPr>
          <w:instrText xml:space="preserve"> PAGEREF _Toc426649347 \h </w:instrText>
        </w:r>
        <w:r w:rsidR="00E67133">
          <w:rPr>
            <w:webHidden/>
          </w:rPr>
        </w:r>
        <w:r w:rsidR="00E67133">
          <w:rPr>
            <w:webHidden/>
          </w:rPr>
          <w:fldChar w:fldCharType="separate"/>
        </w:r>
        <w:r w:rsidR="00E67133">
          <w:rPr>
            <w:webHidden/>
          </w:rPr>
          <w:t>9</w:t>
        </w:r>
        <w:r w:rsidR="00E67133">
          <w:rPr>
            <w:webHidden/>
          </w:rPr>
          <w:fldChar w:fldCharType="end"/>
        </w:r>
      </w:hyperlink>
    </w:p>
    <w:p w14:paraId="64EEC90B" w14:textId="77777777" w:rsidR="00E67133" w:rsidRDefault="00780B28">
      <w:pPr>
        <w:pStyle w:val="TOC3"/>
        <w:rPr>
          <w:i w:val="0"/>
          <w:lang w:val="en-CA" w:eastAsia="en-CA"/>
        </w:rPr>
      </w:pPr>
      <w:hyperlink w:anchor="_Toc426649348" w:history="1">
        <w:r w:rsidR="00E67133" w:rsidRPr="00B70182">
          <w:rPr>
            <w:rStyle w:val="Hyperlink"/>
          </w:rPr>
          <w:t>2.1.2</w:t>
        </w:r>
        <w:r w:rsidR="00E67133">
          <w:rPr>
            <w:i w:val="0"/>
            <w:lang w:val="en-CA" w:eastAsia="en-CA"/>
          </w:rPr>
          <w:tab/>
        </w:r>
        <w:r w:rsidR="00E67133" w:rsidRPr="00B70182">
          <w:rPr>
            <w:rStyle w:val="Hyperlink"/>
          </w:rPr>
          <w:t>Power Purchase Agreement, PowerEx, and Brilliant Expansion Capacity</w:t>
        </w:r>
        <w:r w:rsidR="00E67133">
          <w:rPr>
            <w:webHidden/>
          </w:rPr>
          <w:tab/>
        </w:r>
        <w:r w:rsidR="00E67133">
          <w:rPr>
            <w:webHidden/>
          </w:rPr>
          <w:fldChar w:fldCharType="begin"/>
        </w:r>
        <w:r w:rsidR="00E67133">
          <w:rPr>
            <w:webHidden/>
          </w:rPr>
          <w:instrText xml:space="preserve"> PAGEREF _Toc426649348 \h </w:instrText>
        </w:r>
        <w:r w:rsidR="00E67133">
          <w:rPr>
            <w:webHidden/>
          </w:rPr>
        </w:r>
        <w:r w:rsidR="00E67133">
          <w:rPr>
            <w:webHidden/>
          </w:rPr>
          <w:fldChar w:fldCharType="separate"/>
        </w:r>
        <w:r w:rsidR="00E67133">
          <w:rPr>
            <w:webHidden/>
          </w:rPr>
          <w:t>10</w:t>
        </w:r>
        <w:r w:rsidR="00E67133">
          <w:rPr>
            <w:webHidden/>
          </w:rPr>
          <w:fldChar w:fldCharType="end"/>
        </w:r>
      </w:hyperlink>
    </w:p>
    <w:p w14:paraId="37A3909A" w14:textId="77777777" w:rsidR="00E67133" w:rsidRDefault="00780B28">
      <w:pPr>
        <w:pStyle w:val="TOC3"/>
        <w:rPr>
          <w:i w:val="0"/>
          <w:lang w:val="en-CA" w:eastAsia="en-CA"/>
        </w:rPr>
      </w:pPr>
      <w:hyperlink w:anchor="_Toc426649349" w:history="1">
        <w:r w:rsidR="00E67133" w:rsidRPr="00B70182">
          <w:rPr>
            <w:rStyle w:val="Hyperlink"/>
          </w:rPr>
          <w:t>2.1.3</w:t>
        </w:r>
        <w:r w:rsidR="00E67133">
          <w:rPr>
            <w:i w:val="0"/>
            <w:lang w:val="en-CA" w:eastAsia="en-CA"/>
          </w:rPr>
          <w:tab/>
        </w:r>
        <w:r w:rsidR="00E67133" w:rsidRPr="00B70182">
          <w:rPr>
            <w:rStyle w:val="Hyperlink"/>
          </w:rPr>
          <w:t>WAX Capacity</w:t>
        </w:r>
        <w:r w:rsidR="00E67133">
          <w:rPr>
            <w:webHidden/>
          </w:rPr>
          <w:tab/>
        </w:r>
        <w:r w:rsidR="00E67133">
          <w:rPr>
            <w:webHidden/>
          </w:rPr>
          <w:fldChar w:fldCharType="begin"/>
        </w:r>
        <w:r w:rsidR="00E67133">
          <w:rPr>
            <w:webHidden/>
          </w:rPr>
          <w:instrText xml:space="preserve"> PAGEREF _Toc426649349 \h </w:instrText>
        </w:r>
        <w:r w:rsidR="00E67133">
          <w:rPr>
            <w:webHidden/>
          </w:rPr>
        </w:r>
        <w:r w:rsidR="00E67133">
          <w:rPr>
            <w:webHidden/>
          </w:rPr>
          <w:fldChar w:fldCharType="separate"/>
        </w:r>
        <w:r w:rsidR="00E67133">
          <w:rPr>
            <w:webHidden/>
          </w:rPr>
          <w:t>10</w:t>
        </w:r>
        <w:r w:rsidR="00E67133">
          <w:rPr>
            <w:webHidden/>
          </w:rPr>
          <w:fldChar w:fldCharType="end"/>
        </w:r>
      </w:hyperlink>
    </w:p>
    <w:p w14:paraId="18EF231D" w14:textId="77777777" w:rsidR="00E67133" w:rsidRDefault="00780B28">
      <w:pPr>
        <w:pStyle w:val="TOC3"/>
        <w:rPr>
          <w:i w:val="0"/>
          <w:lang w:val="en-CA" w:eastAsia="en-CA"/>
        </w:rPr>
      </w:pPr>
      <w:hyperlink w:anchor="_Toc426649350" w:history="1">
        <w:r w:rsidR="00E67133" w:rsidRPr="00B70182">
          <w:rPr>
            <w:rStyle w:val="Hyperlink"/>
          </w:rPr>
          <w:t>2.1.4</w:t>
        </w:r>
        <w:r w:rsidR="00E67133">
          <w:rPr>
            <w:i w:val="0"/>
            <w:lang w:val="en-CA" w:eastAsia="en-CA"/>
          </w:rPr>
          <w:tab/>
        </w:r>
        <w:r w:rsidR="00E67133" w:rsidRPr="00B70182">
          <w:rPr>
            <w:rStyle w:val="Hyperlink"/>
          </w:rPr>
          <w:t>Market Access</w:t>
        </w:r>
        <w:r w:rsidR="00E67133">
          <w:rPr>
            <w:webHidden/>
          </w:rPr>
          <w:tab/>
        </w:r>
        <w:r w:rsidR="00E67133">
          <w:rPr>
            <w:webHidden/>
          </w:rPr>
          <w:fldChar w:fldCharType="begin"/>
        </w:r>
        <w:r w:rsidR="00E67133">
          <w:rPr>
            <w:webHidden/>
          </w:rPr>
          <w:instrText xml:space="preserve"> PAGEREF _Toc426649350 \h </w:instrText>
        </w:r>
        <w:r w:rsidR="00E67133">
          <w:rPr>
            <w:webHidden/>
          </w:rPr>
        </w:r>
        <w:r w:rsidR="00E67133">
          <w:rPr>
            <w:webHidden/>
          </w:rPr>
          <w:fldChar w:fldCharType="separate"/>
        </w:r>
        <w:r w:rsidR="00E67133">
          <w:rPr>
            <w:webHidden/>
          </w:rPr>
          <w:t>11</w:t>
        </w:r>
        <w:r w:rsidR="00E67133">
          <w:rPr>
            <w:webHidden/>
          </w:rPr>
          <w:fldChar w:fldCharType="end"/>
        </w:r>
      </w:hyperlink>
    </w:p>
    <w:p w14:paraId="2922C7BC" w14:textId="77777777" w:rsidR="00E67133" w:rsidRDefault="00780B28">
      <w:pPr>
        <w:pStyle w:val="TOC3"/>
        <w:rPr>
          <w:i w:val="0"/>
          <w:lang w:val="en-CA" w:eastAsia="en-CA"/>
        </w:rPr>
      </w:pPr>
      <w:hyperlink w:anchor="_Toc426649351" w:history="1">
        <w:r w:rsidR="00E67133" w:rsidRPr="00B70182">
          <w:rPr>
            <w:rStyle w:val="Hyperlink"/>
          </w:rPr>
          <w:t>2.1.5</w:t>
        </w:r>
        <w:r w:rsidR="00E67133">
          <w:rPr>
            <w:i w:val="0"/>
            <w:lang w:val="en-CA" w:eastAsia="en-CA"/>
          </w:rPr>
          <w:tab/>
        </w:r>
        <w:r w:rsidR="00E67133" w:rsidRPr="00B70182">
          <w:rPr>
            <w:rStyle w:val="Hyperlink"/>
          </w:rPr>
          <w:t>Regulating Reserve and Contingency Reserve Obligations</w:t>
        </w:r>
        <w:r w:rsidR="00E67133">
          <w:rPr>
            <w:webHidden/>
          </w:rPr>
          <w:tab/>
        </w:r>
        <w:r w:rsidR="00E67133">
          <w:rPr>
            <w:webHidden/>
          </w:rPr>
          <w:fldChar w:fldCharType="begin"/>
        </w:r>
        <w:r w:rsidR="00E67133">
          <w:rPr>
            <w:webHidden/>
          </w:rPr>
          <w:instrText xml:space="preserve"> PAGEREF _Toc426649351 \h </w:instrText>
        </w:r>
        <w:r w:rsidR="00E67133">
          <w:rPr>
            <w:webHidden/>
          </w:rPr>
        </w:r>
        <w:r w:rsidR="00E67133">
          <w:rPr>
            <w:webHidden/>
          </w:rPr>
          <w:fldChar w:fldCharType="separate"/>
        </w:r>
        <w:r w:rsidR="00E67133">
          <w:rPr>
            <w:webHidden/>
          </w:rPr>
          <w:t>12</w:t>
        </w:r>
        <w:r w:rsidR="00E67133">
          <w:rPr>
            <w:webHidden/>
          </w:rPr>
          <w:fldChar w:fldCharType="end"/>
        </w:r>
      </w:hyperlink>
    </w:p>
    <w:p w14:paraId="3655339D" w14:textId="77777777" w:rsidR="00E67133" w:rsidRDefault="00780B28">
      <w:pPr>
        <w:pStyle w:val="TOC3"/>
        <w:rPr>
          <w:i w:val="0"/>
          <w:lang w:val="en-CA" w:eastAsia="en-CA"/>
        </w:rPr>
      </w:pPr>
      <w:hyperlink w:anchor="_Toc426649352" w:history="1">
        <w:r w:rsidR="00E67133" w:rsidRPr="00B70182">
          <w:rPr>
            <w:rStyle w:val="Hyperlink"/>
          </w:rPr>
          <w:t>2.1.6</w:t>
        </w:r>
        <w:r w:rsidR="00E67133">
          <w:rPr>
            <w:i w:val="0"/>
            <w:lang w:val="en-CA" w:eastAsia="en-CA"/>
          </w:rPr>
          <w:tab/>
        </w:r>
        <w:r w:rsidR="00E67133" w:rsidRPr="00B70182">
          <w:rPr>
            <w:rStyle w:val="Hyperlink"/>
          </w:rPr>
          <w:t>Peak Forecast</w:t>
        </w:r>
        <w:r w:rsidR="00E67133">
          <w:rPr>
            <w:webHidden/>
          </w:rPr>
          <w:tab/>
        </w:r>
        <w:r w:rsidR="00E67133">
          <w:rPr>
            <w:webHidden/>
          </w:rPr>
          <w:fldChar w:fldCharType="begin"/>
        </w:r>
        <w:r w:rsidR="00E67133">
          <w:rPr>
            <w:webHidden/>
          </w:rPr>
          <w:instrText xml:space="preserve"> PAGEREF _Toc426649352 \h </w:instrText>
        </w:r>
        <w:r w:rsidR="00E67133">
          <w:rPr>
            <w:webHidden/>
          </w:rPr>
        </w:r>
        <w:r w:rsidR="00E67133">
          <w:rPr>
            <w:webHidden/>
          </w:rPr>
          <w:fldChar w:fldCharType="separate"/>
        </w:r>
        <w:r w:rsidR="00E67133">
          <w:rPr>
            <w:webHidden/>
          </w:rPr>
          <w:t>13</w:t>
        </w:r>
        <w:r w:rsidR="00E67133">
          <w:rPr>
            <w:webHidden/>
          </w:rPr>
          <w:fldChar w:fldCharType="end"/>
        </w:r>
      </w:hyperlink>
    </w:p>
    <w:p w14:paraId="7DA9F056" w14:textId="77777777" w:rsidR="00E67133" w:rsidRDefault="00780B28">
      <w:pPr>
        <w:pStyle w:val="TOC2"/>
        <w:rPr>
          <w:rFonts w:asciiTheme="minorHAnsi" w:eastAsiaTheme="minorEastAsia" w:hAnsiTheme="minorHAnsi"/>
          <w:b w:val="0"/>
          <w:lang w:eastAsia="en-CA"/>
        </w:rPr>
      </w:pPr>
      <w:hyperlink w:anchor="_Toc426649353" w:history="1">
        <w:r w:rsidR="00E67133" w:rsidRPr="00B70182">
          <w:rPr>
            <w:rStyle w:val="Hyperlink"/>
          </w:rPr>
          <w:t>2.2</w:t>
        </w:r>
        <w:r w:rsidR="00E67133">
          <w:rPr>
            <w:rFonts w:asciiTheme="minorHAnsi" w:eastAsiaTheme="minorEastAsia" w:hAnsiTheme="minorHAnsi"/>
            <w:b w:val="0"/>
            <w:lang w:eastAsia="en-CA"/>
          </w:rPr>
          <w:tab/>
        </w:r>
        <w:r w:rsidR="00E67133" w:rsidRPr="00B70182">
          <w:rPr>
            <w:rStyle w:val="Hyperlink"/>
          </w:rPr>
          <w:t>Capacity Gaps</w:t>
        </w:r>
        <w:r w:rsidR="00E67133">
          <w:rPr>
            <w:webHidden/>
          </w:rPr>
          <w:tab/>
        </w:r>
        <w:r w:rsidR="00E67133">
          <w:rPr>
            <w:webHidden/>
          </w:rPr>
          <w:fldChar w:fldCharType="begin"/>
        </w:r>
        <w:r w:rsidR="00E67133">
          <w:rPr>
            <w:webHidden/>
          </w:rPr>
          <w:instrText xml:space="preserve"> PAGEREF _Toc426649353 \h </w:instrText>
        </w:r>
        <w:r w:rsidR="00E67133">
          <w:rPr>
            <w:webHidden/>
          </w:rPr>
        </w:r>
        <w:r w:rsidR="00E67133">
          <w:rPr>
            <w:webHidden/>
          </w:rPr>
          <w:fldChar w:fldCharType="separate"/>
        </w:r>
        <w:r w:rsidR="00E67133">
          <w:rPr>
            <w:webHidden/>
          </w:rPr>
          <w:t>14</w:t>
        </w:r>
        <w:r w:rsidR="00E67133">
          <w:rPr>
            <w:webHidden/>
          </w:rPr>
          <w:fldChar w:fldCharType="end"/>
        </w:r>
      </w:hyperlink>
    </w:p>
    <w:p w14:paraId="7B761F6E" w14:textId="77777777" w:rsidR="00E67133" w:rsidRDefault="00780B28">
      <w:pPr>
        <w:pStyle w:val="TOC1"/>
        <w:rPr>
          <w:rFonts w:asciiTheme="minorHAnsi" w:eastAsiaTheme="minorEastAsia" w:hAnsiTheme="minorHAnsi"/>
          <w:b w:val="0"/>
          <w:caps w:val="0"/>
          <w:color w:val="auto"/>
          <w:sz w:val="22"/>
          <w:lang w:eastAsia="en-CA"/>
        </w:rPr>
      </w:pPr>
      <w:hyperlink w:anchor="_Toc426649354" w:history="1">
        <w:r w:rsidR="00E67133" w:rsidRPr="00B70182">
          <w:rPr>
            <w:rStyle w:val="Hyperlink"/>
          </w:rPr>
          <w:t>3.</w:t>
        </w:r>
        <w:r w:rsidR="00E67133">
          <w:rPr>
            <w:rFonts w:asciiTheme="minorHAnsi" w:eastAsiaTheme="minorEastAsia" w:hAnsiTheme="minorHAnsi"/>
            <w:b w:val="0"/>
            <w:caps w:val="0"/>
            <w:color w:val="auto"/>
            <w:sz w:val="22"/>
            <w:lang w:eastAsia="en-CA"/>
          </w:rPr>
          <w:tab/>
        </w:r>
        <w:r w:rsidR="00E67133" w:rsidRPr="00B70182">
          <w:rPr>
            <w:rStyle w:val="Hyperlink"/>
          </w:rPr>
          <w:t>Monte-Carlo Simulation Results</w:t>
        </w:r>
        <w:r w:rsidR="00E67133">
          <w:rPr>
            <w:webHidden/>
          </w:rPr>
          <w:tab/>
        </w:r>
        <w:r w:rsidR="00E67133">
          <w:rPr>
            <w:webHidden/>
          </w:rPr>
          <w:fldChar w:fldCharType="begin"/>
        </w:r>
        <w:r w:rsidR="00E67133">
          <w:rPr>
            <w:webHidden/>
          </w:rPr>
          <w:instrText xml:space="preserve"> PAGEREF _Toc426649354 \h </w:instrText>
        </w:r>
        <w:r w:rsidR="00E67133">
          <w:rPr>
            <w:webHidden/>
          </w:rPr>
        </w:r>
        <w:r w:rsidR="00E67133">
          <w:rPr>
            <w:webHidden/>
          </w:rPr>
          <w:fldChar w:fldCharType="separate"/>
        </w:r>
        <w:r w:rsidR="00E67133">
          <w:rPr>
            <w:webHidden/>
          </w:rPr>
          <w:t>15</w:t>
        </w:r>
        <w:r w:rsidR="00E67133">
          <w:rPr>
            <w:webHidden/>
          </w:rPr>
          <w:fldChar w:fldCharType="end"/>
        </w:r>
      </w:hyperlink>
    </w:p>
    <w:p w14:paraId="7DA0B977" w14:textId="77777777" w:rsidR="00E67133" w:rsidRDefault="00780B28">
      <w:pPr>
        <w:pStyle w:val="TOC2"/>
        <w:rPr>
          <w:rFonts w:asciiTheme="minorHAnsi" w:eastAsiaTheme="minorEastAsia" w:hAnsiTheme="minorHAnsi"/>
          <w:b w:val="0"/>
          <w:lang w:eastAsia="en-CA"/>
        </w:rPr>
      </w:pPr>
      <w:hyperlink w:anchor="_Toc426649355" w:history="1">
        <w:r w:rsidR="00E67133" w:rsidRPr="00B70182">
          <w:rPr>
            <w:rStyle w:val="Hyperlink"/>
          </w:rPr>
          <w:t>3.1</w:t>
        </w:r>
        <w:r w:rsidR="00E67133">
          <w:rPr>
            <w:rFonts w:asciiTheme="minorHAnsi" w:eastAsiaTheme="minorEastAsia" w:hAnsiTheme="minorHAnsi"/>
            <w:b w:val="0"/>
            <w:lang w:eastAsia="en-CA"/>
          </w:rPr>
          <w:tab/>
        </w:r>
        <w:r w:rsidR="00E67133" w:rsidRPr="00B70182">
          <w:rPr>
            <w:rStyle w:val="Hyperlink"/>
          </w:rPr>
          <w:t>Monte-Carlo Simulation and Assumptions in the Base Case</w:t>
        </w:r>
        <w:r w:rsidR="00E67133">
          <w:rPr>
            <w:webHidden/>
          </w:rPr>
          <w:tab/>
        </w:r>
        <w:r w:rsidR="00E67133">
          <w:rPr>
            <w:webHidden/>
          </w:rPr>
          <w:fldChar w:fldCharType="begin"/>
        </w:r>
        <w:r w:rsidR="00E67133">
          <w:rPr>
            <w:webHidden/>
          </w:rPr>
          <w:instrText xml:space="preserve"> PAGEREF _Toc426649355 \h </w:instrText>
        </w:r>
        <w:r w:rsidR="00E67133">
          <w:rPr>
            <w:webHidden/>
          </w:rPr>
        </w:r>
        <w:r w:rsidR="00E67133">
          <w:rPr>
            <w:webHidden/>
          </w:rPr>
          <w:fldChar w:fldCharType="separate"/>
        </w:r>
        <w:r w:rsidR="00E67133">
          <w:rPr>
            <w:webHidden/>
          </w:rPr>
          <w:t>15</w:t>
        </w:r>
        <w:r w:rsidR="00E67133">
          <w:rPr>
            <w:webHidden/>
          </w:rPr>
          <w:fldChar w:fldCharType="end"/>
        </w:r>
      </w:hyperlink>
    </w:p>
    <w:p w14:paraId="19F809D6" w14:textId="77777777" w:rsidR="00E67133" w:rsidRDefault="00780B28">
      <w:pPr>
        <w:pStyle w:val="TOC2"/>
        <w:rPr>
          <w:rFonts w:asciiTheme="minorHAnsi" w:eastAsiaTheme="minorEastAsia" w:hAnsiTheme="minorHAnsi"/>
          <w:b w:val="0"/>
          <w:lang w:eastAsia="en-CA"/>
        </w:rPr>
      </w:pPr>
      <w:hyperlink w:anchor="_Toc426649356" w:history="1">
        <w:r w:rsidR="00E67133" w:rsidRPr="00B70182">
          <w:rPr>
            <w:rStyle w:val="Hyperlink"/>
          </w:rPr>
          <w:t>3.2</w:t>
        </w:r>
        <w:r w:rsidR="00E67133">
          <w:rPr>
            <w:rFonts w:asciiTheme="minorHAnsi" w:eastAsiaTheme="minorEastAsia" w:hAnsiTheme="minorHAnsi"/>
            <w:b w:val="0"/>
            <w:lang w:eastAsia="en-CA"/>
          </w:rPr>
          <w:tab/>
        </w:r>
        <w:r w:rsidR="00E67133" w:rsidRPr="00B70182">
          <w:rPr>
            <w:rStyle w:val="Hyperlink"/>
          </w:rPr>
          <w:t>Base Case Results</w:t>
        </w:r>
        <w:r w:rsidR="00E67133">
          <w:rPr>
            <w:webHidden/>
          </w:rPr>
          <w:tab/>
        </w:r>
        <w:r w:rsidR="00E67133">
          <w:rPr>
            <w:webHidden/>
          </w:rPr>
          <w:fldChar w:fldCharType="begin"/>
        </w:r>
        <w:r w:rsidR="00E67133">
          <w:rPr>
            <w:webHidden/>
          </w:rPr>
          <w:instrText xml:space="preserve"> PAGEREF _Toc426649356 \h </w:instrText>
        </w:r>
        <w:r w:rsidR="00E67133">
          <w:rPr>
            <w:webHidden/>
          </w:rPr>
        </w:r>
        <w:r w:rsidR="00E67133">
          <w:rPr>
            <w:webHidden/>
          </w:rPr>
          <w:fldChar w:fldCharType="separate"/>
        </w:r>
        <w:r w:rsidR="00E67133">
          <w:rPr>
            <w:webHidden/>
          </w:rPr>
          <w:t>15</w:t>
        </w:r>
        <w:r w:rsidR="00E67133">
          <w:rPr>
            <w:webHidden/>
          </w:rPr>
          <w:fldChar w:fldCharType="end"/>
        </w:r>
      </w:hyperlink>
    </w:p>
    <w:p w14:paraId="5B9E171B" w14:textId="77777777" w:rsidR="00E67133" w:rsidRDefault="00780B28">
      <w:pPr>
        <w:pStyle w:val="TOC2"/>
        <w:rPr>
          <w:rFonts w:asciiTheme="minorHAnsi" w:eastAsiaTheme="minorEastAsia" w:hAnsiTheme="minorHAnsi"/>
          <w:b w:val="0"/>
          <w:lang w:eastAsia="en-CA"/>
        </w:rPr>
      </w:pPr>
      <w:hyperlink w:anchor="_Toc426649357" w:history="1">
        <w:r w:rsidR="00E67133" w:rsidRPr="00B70182">
          <w:rPr>
            <w:rStyle w:val="Hyperlink"/>
          </w:rPr>
          <w:t>3.3</w:t>
        </w:r>
        <w:r w:rsidR="00E67133">
          <w:rPr>
            <w:rFonts w:asciiTheme="minorHAnsi" w:eastAsiaTheme="minorEastAsia" w:hAnsiTheme="minorHAnsi"/>
            <w:b w:val="0"/>
            <w:lang w:eastAsia="en-CA"/>
          </w:rPr>
          <w:tab/>
        </w:r>
        <w:r w:rsidR="00E67133" w:rsidRPr="00B70182">
          <w:rPr>
            <w:rStyle w:val="Hyperlink"/>
          </w:rPr>
          <w:t>Sensitivity Analysis</w:t>
        </w:r>
        <w:r w:rsidR="00E67133">
          <w:rPr>
            <w:webHidden/>
          </w:rPr>
          <w:tab/>
        </w:r>
        <w:r w:rsidR="00E67133">
          <w:rPr>
            <w:webHidden/>
          </w:rPr>
          <w:fldChar w:fldCharType="begin"/>
        </w:r>
        <w:r w:rsidR="00E67133">
          <w:rPr>
            <w:webHidden/>
          </w:rPr>
          <w:instrText xml:space="preserve"> PAGEREF _Toc426649357 \h </w:instrText>
        </w:r>
        <w:r w:rsidR="00E67133">
          <w:rPr>
            <w:webHidden/>
          </w:rPr>
        </w:r>
        <w:r w:rsidR="00E67133">
          <w:rPr>
            <w:webHidden/>
          </w:rPr>
          <w:fldChar w:fldCharType="separate"/>
        </w:r>
        <w:r w:rsidR="00E67133">
          <w:rPr>
            <w:webHidden/>
          </w:rPr>
          <w:t>17</w:t>
        </w:r>
        <w:r w:rsidR="00E67133">
          <w:rPr>
            <w:webHidden/>
          </w:rPr>
          <w:fldChar w:fldCharType="end"/>
        </w:r>
      </w:hyperlink>
    </w:p>
    <w:p w14:paraId="5AE941C5" w14:textId="77777777" w:rsidR="00E67133" w:rsidRDefault="00780B28">
      <w:pPr>
        <w:pStyle w:val="TOC3"/>
        <w:rPr>
          <w:i w:val="0"/>
          <w:lang w:val="en-CA" w:eastAsia="en-CA"/>
        </w:rPr>
      </w:pPr>
      <w:hyperlink w:anchor="_Toc426649358" w:history="1">
        <w:r w:rsidR="00E67133" w:rsidRPr="00B70182">
          <w:rPr>
            <w:rStyle w:val="Hyperlink"/>
          </w:rPr>
          <w:t>3.3.1</w:t>
        </w:r>
        <w:r w:rsidR="00E67133">
          <w:rPr>
            <w:i w:val="0"/>
            <w:lang w:val="en-CA" w:eastAsia="en-CA"/>
          </w:rPr>
          <w:tab/>
        </w:r>
        <w:r w:rsidR="00E67133" w:rsidRPr="00B70182">
          <w:rPr>
            <w:rStyle w:val="Hyperlink"/>
          </w:rPr>
          <w:t>Load Sensitivity Analysis</w:t>
        </w:r>
        <w:r w:rsidR="00E67133">
          <w:rPr>
            <w:webHidden/>
          </w:rPr>
          <w:tab/>
        </w:r>
        <w:r w:rsidR="00E67133">
          <w:rPr>
            <w:webHidden/>
          </w:rPr>
          <w:fldChar w:fldCharType="begin"/>
        </w:r>
        <w:r w:rsidR="00E67133">
          <w:rPr>
            <w:webHidden/>
          </w:rPr>
          <w:instrText xml:space="preserve"> PAGEREF _Toc426649358 \h </w:instrText>
        </w:r>
        <w:r w:rsidR="00E67133">
          <w:rPr>
            <w:webHidden/>
          </w:rPr>
        </w:r>
        <w:r w:rsidR="00E67133">
          <w:rPr>
            <w:webHidden/>
          </w:rPr>
          <w:fldChar w:fldCharType="separate"/>
        </w:r>
        <w:r w:rsidR="00E67133">
          <w:rPr>
            <w:webHidden/>
          </w:rPr>
          <w:t>17</w:t>
        </w:r>
        <w:r w:rsidR="00E67133">
          <w:rPr>
            <w:webHidden/>
          </w:rPr>
          <w:fldChar w:fldCharType="end"/>
        </w:r>
      </w:hyperlink>
    </w:p>
    <w:p w14:paraId="418D1009" w14:textId="77777777" w:rsidR="00E67133" w:rsidRDefault="00780B28">
      <w:pPr>
        <w:pStyle w:val="TOC3"/>
        <w:rPr>
          <w:i w:val="0"/>
          <w:lang w:val="en-CA" w:eastAsia="en-CA"/>
        </w:rPr>
      </w:pPr>
      <w:hyperlink w:anchor="_Toc426649359" w:history="1">
        <w:r w:rsidR="00E67133" w:rsidRPr="00B70182">
          <w:rPr>
            <w:rStyle w:val="Hyperlink"/>
          </w:rPr>
          <w:t>3.3.2</w:t>
        </w:r>
        <w:r w:rsidR="00E67133">
          <w:rPr>
            <w:i w:val="0"/>
            <w:lang w:val="en-CA" w:eastAsia="en-CA"/>
          </w:rPr>
          <w:tab/>
        </w:r>
        <w:r w:rsidR="00E67133" w:rsidRPr="00B70182">
          <w:rPr>
            <w:rStyle w:val="Hyperlink"/>
          </w:rPr>
          <w:t>Resource Sensitivity Analysis</w:t>
        </w:r>
        <w:r w:rsidR="00E67133">
          <w:rPr>
            <w:webHidden/>
          </w:rPr>
          <w:tab/>
        </w:r>
        <w:r w:rsidR="00E67133">
          <w:rPr>
            <w:webHidden/>
          </w:rPr>
          <w:fldChar w:fldCharType="begin"/>
        </w:r>
        <w:r w:rsidR="00E67133">
          <w:rPr>
            <w:webHidden/>
          </w:rPr>
          <w:instrText xml:space="preserve"> PAGEREF _Toc426649359 \h </w:instrText>
        </w:r>
        <w:r w:rsidR="00E67133">
          <w:rPr>
            <w:webHidden/>
          </w:rPr>
        </w:r>
        <w:r w:rsidR="00E67133">
          <w:rPr>
            <w:webHidden/>
          </w:rPr>
          <w:fldChar w:fldCharType="separate"/>
        </w:r>
        <w:r w:rsidR="00E67133">
          <w:rPr>
            <w:webHidden/>
          </w:rPr>
          <w:t>20</w:t>
        </w:r>
        <w:r w:rsidR="00E67133">
          <w:rPr>
            <w:webHidden/>
          </w:rPr>
          <w:fldChar w:fldCharType="end"/>
        </w:r>
      </w:hyperlink>
    </w:p>
    <w:p w14:paraId="5BAD1191" w14:textId="77777777" w:rsidR="00E67133" w:rsidRDefault="00780B28">
      <w:pPr>
        <w:pStyle w:val="TOC3"/>
        <w:rPr>
          <w:i w:val="0"/>
          <w:lang w:val="en-CA" w:eastAsia="en-CA"/>
        </w:rPr>
      </w:pPr>
      <w:hyperlink w:anchor="_Toc426649360" w:history="1">
        <w:r w:rsidR="00E67133" w:rsidRPr="00B70182">
          <w:rPr>
            <w:rStyle w:val="Hyperlink"/>
          </w:rPr>
          <w:t>3.3.3</w:t>
        </w:r>
        <w:r w:rsidR="00E67133">
          <w:rPr>
            <w:i w:val="0"/>
            <w:lang w:val="en-CA" w:eastAsia="en-CA"/>
          </w:rPr>
          <w:tab/>
        </w:r>
        <w:r w:rsidR="00E67133" w:rsidRPr="00B70182">
          <w:rPr>
            <w:rStyle w:val="Hyperlink"/>
          </w:rPr>
          <w:t>Market Access Sensitivity Analysis</w:t>
        </w:r>
        <w:r w:rsidR="00E67133">
          <w:rPr>
            <w:webHidden/>
          </w:rPr>
          <w:tab/>
        </w:r>
        <w:r w:rsidR="00E67133">
          <w:rPr>
            <w:webHidden/>
          </w:rPr>
          <w:fldChar w:fldCharType="begin"/>
        </w:r>
        <w:r w:rsidR="00E67133">
          <w:rPr>
            <w:webHidden/>
          </w:rPr>
          <w:instrText xml:space="preserve"> PAGEREF _Toc426649360 \h </w:instrText>
        </w:r>
        <w:r w:rsidR="00E67133">
          <w:rPr>
            <w:webHidden/>
          </w:rPr>
        </w:r>
        <w:r w:rsidR="00E67133">
          <w:rPr>
            <w:webHidden/>
          </w:rPr>
          <w:fldChar w:fldCharType="separate"/>
        </w:r>
        <w:r w:rsidR="00E67133">
          <w:rPr>
            <w:webHidden/>
          </w:rPr>
          <w:t>22</w:t>
        </w:r>
        <w:r w:rsidR="00E67133">
          <w:rPr>
            <w:webHidden/>
          </w:rPr>
          <w:fldChar w:fldCharType="end"/>
        </w:r>
      </w:hyperlink>
    </w:p>
    <w:p w14:paraId="1987E1E3" w14:textId="77777777" w:rsidR="00E67133" w:rsidRDefault="00780B28">
      <w:pPr>
        <w:pStyle w:val="TOC1"/>
        <w:rPr>
          <w:rFonts w:asciiTheme="minorHAnsi" w:eastAsiaTheme="minorEastAsia" w:hAnsiTheme="minorHAnsi"/>
          <w:b w:val="0"/>
          <w:caps w:val="0"/>
          <w:color w:val="auto"/>
          <w:sz w:val="22"/>
          <w:lang w:eastAsia="en-CA"/>
        </w:rPr>
      </w:pPr>
      <w:hyperlink w:anchor="_Toc426649361" w:history="1">
        <w:r w:rsidR="00E67133" w:rsidRPr="00B70182">
          <w:rPr>
            <w:rStyle w:val="Hyperlink"/>
          </w:rPr>
          <w:t>4.</w:t>
        </w:r>
        <w:r w:rsidR="00E67133">
          <w:rPr>
            <w:rFonts w:asciiTheme="minorHAnsi" w:eastAsiaTheme="minorEastAsia" w:hAnsiTheme="minorHAnsi"/>
            <w:b w:val="0"/>
            <w:caps w:val="0"/>
            <w:color w:val="auto"/>
            <w:sz w:val="22"/>
            <w:lang w:eastAsia="en-CA"/>
          </w:rPr>
          <w:tab/>
        </w:r>
        <w:r w:rsidR="00E67133" w:rsidRPr="00B70182">
          <w:rPr>
            <w:rStyle w:val="Hyperlink"/>
          </w:rPr>
          <w:t>Conclusion</w:t>
        </w:r>
        <w:r w:rsidR="00E67133">
          <w:rPr>
            <w:webHidden/>
          </w:rPr>
          <w:tab/>
        </w:r>
        <w:r w:rsidR="00E67133">
          <w:rPr>
            <w:webHidden/>
          </w:rPr>
          <w:fldChar w:fldCharType="begin"/>
        </w:r>
        <w:r w:rsidR="00E67133">
          <w:rPr>
            <w:webHidden/>
          </w:rPr>
          <w:instrText xml:space="preserve"> PAGEREF _Toc426649361 \h </w:instrText>
        </w:r>
        <w:r w:rsidR="00E67133">
          <w:rPr>
            <w:webHidden/>
          </w:rPr>
        </w:r>
        <w:r w:rsidR="00E67133">
          <w:rPr>
            <w:webHidden/>
          </w:rPr>
          <w:fldChar w:fldCharType="separate"/>
        </w:r>
        <w:r w:rsidR="00E67133">
          <w:rPr>
            <w:webHidden/>
          </w:rPr>
          <w:t>26</w:t>
        </w:r>
        <w:r w:rsidR="00E67133">
          <w:rPr>
            <w:webHidden/>
          </w:rPr>
          <w:fldChar w:fldCharType="end"/>
        </w:r>
      </w:hyperlink>
    </w:p>
    <w:p w14:paraId="0CF17EC2" w14:textId="77777777" w:rsidR="00E67133" w:rsidRDefault="00780B28">
      <w:pPr>
        <w:pStyle w:val="TOC1"/>
        <w:rPr>
          <w:rFonts w:asciiTheme="minorHAnsi" w:eastAsiaTheme="minorEastAsia" w:hAnsiTheme="minorHAnsi"/>
          <w:b w:val="0"/>
          <w:caps w:val="0"/>
          <w:color w:val="auto"/>
          <w:sz w:val="22"/>
          <w:lang w:eastAsia="en-CA"/>
        </w:rPr>
      </w:pPr>
      <w:hyperlink w:anchor="_Toc426649362" w:history="1">
        <w:r w:rsidR="00E67133" w:rsidRPr="00B70182">
          <w:rPr>
            <w:rStyle w:val="Hyperlink"/>
          </w:rPr>
          <w:t>Appendices</w:t>
        </w:r>
        <w:r w:rsidR="00E67133">
          <w:rPr>
            <w:webHidden/>
          </w:rPr>
          <w:tab/>
        </w:r>
        <w:r w:rsidR="00E67133">
          <w:rPr>
            <w:webHidden/>
          </w:rPr>
          <w:fldChar w:fldCharType="begin"/>
        </w:r>
        <w:r w:rsidR="00E67133">
          <w:rPr>
            <w:webHidden/>
          </w:rPr>
          <w:instrText xml:space="preserve"> PAGEREF _Toc426649362 \h </w:instrText>
        </w:r>
        <w:r w:rsidR="00E67133">
          <w:rPr>
            <w:webHidden/>
          </w:rPr>
        </w:r>
        <w:r w:rsidR="00E67133">
          <w:rPr>
            <w:webHidden/>
          </w:rPr>
          <w:fldChar w:fldCharType="separate"/>
        </w:r>
        <w:r w:rsidR="00E67133">
          <w:rPr>
            <w:webHidden/>
          </w:rPr>
          <w:t>28</w:t>
        </w:r>
        <w:r w:rsidR="00E67133">
          <w:rPr>
            <w:webHidden/>
          </w:rPr>
          <w:fldChar w:fldCharType="end"/>
        </w:r>
      </w:hyperlink>
    </w:p>
    <w:p w14:paraId="2798A248" w14:textId="77777777" w:rsidR="00E67133" w:rsidRDefault="00780B28">
      <w:pPr>
        <w:pStyle w:val="TOC2"/>
        <w:rPr>
          <w:rFonts w:asciiTheme="minorHAnsi" w:eastAsiaTheme="minorEastAsia" w:hAnsiTheme="minorHAnsi"/>
          <w:b w:val="0"/>
          <w:lang w:eastAsia="en-CA"/>
        </w:rPr>
      </w:pPr>
      <w:hyperlink w:anchor="_Toc426649363" w:history="1">
        <w:r w:rsidR="00E67133" w:rsidRPr="00B70182">
          <w:rPr>
            <w:rStyle w:val="Hyperlink"/>
          </w:rPr>
          <w:t>Appendix A – An Example of Capacity Outage Probability Table</w:t>
        </w:r>
        <w:r w:rsidR="00E67133">
          <w:rPr>
            <w:webHidden/>
          </w:rPr>
          <w:tab/>
        </w:r>
        <w:r w:rsidR="00E67133">
          <w:rPr>
            <w:webHidden/>
          </w:rPr>
          <w:fldChar w:fldCharType="begin"/>
        </w:r>
        <w:r w:rsidR="00E67133">
          <w:rPr>
            <w:webHidden/>
          </w:rPr>
          <w:instrText xml:space="preserve"> PAGEREF _Toc426649363 \h </w:instrText>
        </w:r>
        <w:r w:rsidR="00E67133">
          <w:rPr>
            <w:webHidden/>
          </w:rPr>
        </w:r>
        <w:r w:rsidR="00E67133">
          <w:rPr>
            <w:webHidden/>
          </w:rPr>
          <w:fldChar w:fldCharType="separate"/>
        </w:r>
        <w:r w:rsidR="00E67133">
          <w:rPr>
            <w:webHidden/>
          </w:rPr>
          <w:t>29</w:t>
        </w:r>
        <w:r w:rsidR="00E67133">
          <w:rPr>
            <w:webHidden/>
          </w:rPr>
          <w:fldChar w:fldCharType="end"/>
        </w:r>
      </w:hyperlink>
    </w:p>
    <w:p w14:paraId="25967AC6" w14:textId="77777777" w:rsidR="00E67133" w:rsidRDefault="00780B28">
      <w:pPr>
        <w:pStyle w:val="TOC2"/>
        <w:rPr>
          <w:rFonts w:asciiTheme="minorHAnsi" w:eastAsiaTheme="minorEastAsia" w:hAnsiTheme="minorHAnsi"/>
          <w:b w:val="0"/>
          <w:lang w:eastAsia="en-CA"/>
        </w:rPr>
      </w:pPr>
      <w:hyperlink w:anchor="_Toc426649364" w:history="1">
        <w:r w:rsidR="00E67133" w:rsidRPr="00B70182">
          <w:rPr>
            <w:rStyle w:val="Hyperlink"/>
          </w:rPr>
          <w:t>Appendix B – Capacity Resources</w:t>
        </w:r>
        <w:r w:rsidR="00E67133">
          <w:rPr>
            <w:webHidden/>
          </w:rPr>
          <w:tab/>
        </w:r>
        <w:r w:rsidR="00E67133">
          <w:rPr>
            <w:webHidden/>
          </w:rPr>
          <w:fldChar w:fldCharType="begin"/>
        </w:r>
        <w:r w:rsidR="00E67133">
          <w:rPr>
            <w:webHidden/>
          </w:rPr>
          <w:instrText xml:space="preserve"> PAGEREF _Toc426649364 \h </w:instrText>
        </w:r>
        <w:r w:rsidR="00E67133">
          <w:rPr>
            <w:webHidden/>
          </w:rPr>
        </w:r>
        <w:r w:rsidR="00E67133">
          <w:rPr>
            <w:webHidden/>
          </w:rPr>
          <w:fldChar w:fldCharType="separate"/>
        </w:r>
        <w:r w:rsidR="00E67133">
          <w:rPr>
            <w:webHidden/>
          </w:rPr>
          <w:t>30</w:t>
        </w:r>
        <w:r w:rsidR="00E67133">
          <w:rPr>
            <w:webHidden/>
          </w:rPr>
          <w:fldChar w:fldCharType="end"/>
        </w:r>
      </w:hyperlink>
    </w:p>
    <w:p w14:paraId="18F0D6DF" w14:textId="77777777" w:rsidR="00E67133" w:rsidRDefault="00780B28">
      <w:pPr>
        <w:pStyle w:val="TOC2"/>
        <w:rPr>
          <w:rFonts w:asciiTheme="minorHAnsi" w:eastAsiaTheme="minorEastAsia" w:hAnsiTheme="minorHAnsi"/>
          <w:b w:val="0"/>
          <w:lang w:eastAsia="en-CA"/>
        </w:rPr>
      </w:pPr>
      <w:hyperlink w:anchor="_Toc426649365" w:history="1">
        <w:r w:rsidR="00E67133" w:rsidRPr="00B70182">
          <w:rPr>
            <w:rStyle w:val="Hyperlink"/>
          </w:rPr>
          <w:t>Appendix C – Peak Forecast</w:t>
        </w:r>
        <w:r w:rsidR="00E67133">
          <w:rPr>
            <w:webHidden/>
          </w:rPr>
          <w:tab/>
        </w:r>
        <w:r w:rsidR="00E67133">
          <w:rPr>
            <w:webHidden/>
          </w:rPr>
          <w:fldChar w:fldCharType="begin"/>
        </w:r>
        <w:r w:rsidR="00E67133">
          <w:rPr>
            <w:webHidden/>
          </w:rPr>
          <w:instrText xml:space="preserve"> PAGEREF _Toc426649365 \h </w:instrText>
        </w:r>
        <w:r w:rsidR="00E67133">
          <w:rPr>
            <w:webHidden/>
          </w:rPr>
        </w:r>
        <w:r w:rsidR="00E67133">
          <w:rPr>
            <w:webHidden/>
          </w:rPr>
          <w:fldChar w:fldCharType="separate"/>
        </w:r>
        <w:r w:rsidR="00E67133">
          <w:rPr>
            <w:webHidden/>
          </w:rPr>
          <w:t>34</w:t>
        </w:r>
        <w:r w:rsidR="00E67133">
          <w:rPr>
            <w:webHidden/>
          </w:rPr>
          <w:fldChar w:fldCharType="end"/>
        </w:r>
      </w:hyperlink>
    </w:p>
    <w:p w14:paraId="6A6FF3CA" w14:textId="77777777" w:rsidR="00E67133" w:rsidRDefault="00780B28">
      <w:pPr>
        <w:pStyle w:val="TOC2"/>
        <w:rPr>
          <w:rFonts w:asciiTheme="minorHAnsi" w:eastAsiaTheme="minorEastAsia" w:hAnsiTheme="minorHAnsi"/>
          <w:b w:val="0"/>
          <w:lang w:eastAsia="en-CA"/>
        </w:rPr>
      </w:pPr>
      <w:hyperlink w:anchor="_Toc426649366" w:history="1">
        <w:r w:rsidR="00E67133" w:rsidRPr="00B70182">
          <w:rPr>
            <w:rStyle w:val="Hyperlink"/>
          </w:rPr>
          <w:t>Appendix D – Capacity Gaps</w:t>
        </w:r>
        <w:r w:rsidR="00E67133">
          <w:rPr>
            <w:webHidden/>
          </w:rPr>
          <w:tab/>
        </w:r>
        <w:r w:rsidR="00E67133">
          <w:rPr>
            <w:webHidden/>
          </w:rPr>
          <w:fldChar w:fldCharType="begin"/>
        </w:r>
        <w:r w:rsidR="00E67133">
          <w:rPr>
            <w:webHidden/>
          </w:rPr>
          <w:instrText xml:space="preserve"> PAGEREF _Toc426649366 \h </w:instrText>
        </w:r>
        <w:r w:rsidR="00E67133">
          <w:rPr>
            <w:webHidden/>
          </w:rPr>
        </w:r>
        <w:r w:rsidR="00E67133">
          <w:rPr>
            <w:webHidden/>
          </w:rPr>
          <w:fldChar w:fldCharType="separate"/>
        </w:r>
        <w:r w:rsidR="00E67133">
          <w:rPr>
            <w:webHidden/>
          </w:rPr>
          <w:t>37</w:t>
        </w:r>
        <w:r w:rsidR="00E67133">
          <w:rPr>
            <w:webHidden/>
          </w:rPr>
          <w:fldChar w:fldCharType="end"/>
        </w:r>
      </w:hyperlink>
    </w:p>
    <w:p w14:paraId="63E870DC" w14:textId="77777777" w:rsidR="00E67133" w:rsidRDefault="00780B28">
      <w:pPr>
        <w:pStyle w:val="TOC2"/>
        <w:rPr>
          <w:rFonts w:asciiTheme="minorHAnsi" w:eastAsiaTheme="minorEastAsia" w:hAnsiTheme="minorHAnsi"/>
          <w:b w:val="0"/>
          <w:lang w:eastAsia="en-CA"/>
        </w:rPr>
      </w:pPr>
      <w:hyperlink w:anchor="_Toc426649367" w:history="1">
        <w:r w:rsidR="00E67133" w:rsidRPr="00B70182">
          <w:rPr>
            <w:rStyle w:val="Hyperlink"/>
          </w:rPr>
          <w:t>Appendix E – Monte-Carlo Simulation Results</w:t>
        </w:r>
        <w:r w:rsidR="00E67133">
          <w:rPr>
            <w:webHidden/>
          </w:rPr>
          <w:tab/>
        </w:r>
        <w:r w:rsidR="00E67133">
          <w:rPr>
            <w:webHidden/>
          </w:rPr>
          <w:fldChar w:fldCharType="begin"/>
        </w:r>
        <w:r w:rsidR="00E67133">
          <w:rPr>
            <w:webHidden/>
          </w:rPr>
          <w:instrText xml:space="preserve"> PAGEREF _Toc426649367 \h </w:instrText>
        </w:r>
        <w:r w:rsidR="00E67133">
          <w:rPr>
            <w:webHidden/>
          </w:rPr>
        </w:r>
        <w:r w:rsidR="00E67133">
          <w:rPr>
            <w:webHidden/>
          </w:rPr>
          <w:fldChar w:fldCharType="separate"/>
        </w:r>
        <w:r w:rsidR="00E67133">
          <w:rPr>
            <w:webHidden/>
          </w:rPr>
          <w:t>38</w:t>
        </w:r>
        <w:r w:rsidR="00E67133">
          <w:rPr>
            <w:webHidden/>
          </w:rPr>
          <w:fldChar w:fldCharType="end"/>
        </w:r>
      </w:hyperlink>
    </w:p>
    <w:p w14:paraId="673E9803" w14:textId="77777777" w:rsidR="00E67133" w:rsidRDefault="00780B28">
      <w:pPr>
        <w:pStyle w:val="TOC2"/>
        <w:rPr>
          <w:rFonts w:asciiTheme="minorHAnsi" w:eastAsiaTheme="minorEastAsia" w:hAnsiTheme="minorHAnsi"/>
          <w:b w:val="0"/>
          <w:lang w:eastAsia="en-CA"/>
        </w:rPr>
      </w:pPr>
      <w:hyperlink w:anchor="_Toc426649368" w:history="1">
        <w:r w:rsidR="00E67133" w:rsidRPr="00B70182">
          <w:rPr>
            <w:rStyle w:val="Hyperlink"/>
          </w:rPr>
          <w:t>Appendix F – Comparison Between FBC and BCH Approaches for PRM</w:t>
        </w:r>
        <w:r w:rsidR="00E67133">
          <w:rPr>
            <w:webHidden/>
          </w:rPr>
          <w:tab/>
        </w:r>
        <w:r w:rsidR="00E67133">
          <w:rPr>
            <w:webHidden/>
          </w:rPr>
          <w:fldChar w:fldCharType="begin"/>
        </w:r>
        <w:r w:rsidR="00E67133">
          <w:rPr>
            <w:webHidden/>
          </w:rPr>
          <w:instrText xml:space="preserve"> PAGEREF _Toc426649368 \h </w:instrText>
        </w:r>
        <w:r w:rsidR="00E67133">
          <w:rPr>
            <w:webHidden/>
          </w:rPr>
        </w:r>
        <w:r w:rsidR="00E67133">
          <w:rPr>
            <w:webHidden/>
          </w:rPr>
          <w:fldChar w:fldCharType="separate"/>
        </w:r>
        <w:r w:rsidR="00E67133">
          <w:rPr>
            <w:webHidden/>
          </w:rPr>
          <w:t>41</w:t>
        </w:r>
        <w:r w:rsidR="00E67133">
          <w:rPr>
            <w:webHidden/>
          </w:rPr>
          <w:fldChar w:fldCharType="end"/>
        </w:r>
      </w:hyperlink>
    </w:p>
    <w:p w14:paraId="675AA11A" w14:textId="77777777" w:rsidR="00E67133" w:rsidRDefault="00780B28">
      <w:pPr>
        <w:pStyle w:val="TOC2"/>
        <w:rPr>
          <w:rFonts w:asciiTheme="minorHAnsi" w:eastAsiaTheme="minorEastAsia" w:hAnsiTheme="minorHAnsi"/>
          <w:b w:val="0"/>
          <w:lang w:eastAsia="en-CA"/>
        </w:rPr>
      </w:pPr>
      <w:hyperlink w:anchor="_Toc426649369" w:history="1">
        <w:r w:rsidR="00E67133" w:rsidRPr="00B70182">
          <w:rPr>
            <w:rStyle w:val="Hyperlink"/>
          </w:rPr>
          <w:t>Appendix G – glossaries &amp; acronyms</w:t>
        </w:r>
        <w:r w:rsidR="00E67133">
          <w:rPr>
            <w:webHidden/>
          </w:rPr>
          <w:tab/>
        </w:r>
        <w:r w:rsidR="00E67133">
          <w:rPr>
            <w:webHidden/>
          </w:rPr>
          <w:fldChar w:fldCharType="begin"/>
        </w:r>
        <w:r w:rsidR="00E67133">
          <w:rPr>
            <w:webHidden/>
          </w:rPr>
          <w:instrText xml:space="preserve"> PAGEREF _Toc426649369 \h </w:instrText>
        </w:r>
        <w:r w:rsidR="00E67133">
          <w:rPr>
            <w:webHidden/>
          </w:rPr>
        </w:r>
        <w:r w:rsidR="00E67133">
          <w:rPr>
            <w:webHidden/>
          </w:rPr>
          <w:fldChar w:fldCharType="separate"/>
        </w:r>
        <w:r w:rsidR="00E67133">
          <w:rPr>
            <w:webHidden/>
          </w:rPr>
          <w:t>42</w:t>
        </w:r>
        <w:r w:rsidR="00E67133">
          <w:rPr>
            <w:webHidden/>
          </w:rPr>
          <w:fldChar w:fldCharType="end"/>
        </w:r>
      </w:hyperlink>
    </w:p>
    <w:p w14:paraId="78DE6677" w14:textId="77777777" w:rsidR="00EF1D77" w:rsidRDefault="00EF1D77" w:rsidP="00EF1D77">
      <w:r>
        <w:fldChar w:fldCharType="end"/>
      </w:r>
    </w:p>
    <w:p w14:paraId="070DD2BA" w14:textId="77777777" w:rsidR="00EF1D77" w:rsidRDefault="00EF1D77" w:rsidP="00EF1D77">
      <w:r>
        <w:br w:type="page"/>
      </w:r>
    </w:p>
    <w:p w14:paraId="0EAA1C2E" w14:textId="77777777" w:rsidR="00EF1D77" w:rsidRPr="005E7F4F" w:rsidRDefault="00EF1D77" w:rsidP="00EF1D77">
      <w:pPr>
        <w:pStyle w:val="TOCHeading"/>
      </w:pPr>
      <w:r>
        <w:lastRenderedPageBreak/>
        <w:t>Index of Tables and Figures</w:t>
      </w:r>
    </w:p>
    <w:p w14:paraId="2F07DBDE" w14:textId="77777777" w:rsidR="00EF1D77" w:rsidRDefault="00EF1D77" w:rsidP="00EF1D77">
      <w:pPr>
        <w:rPr>
          <w:lang w:val="en-GB"/>
        </w:rPr>
      </w:pPr>
    </w:p>
    <w:p w14:paraId="76689135" w14:textId="77777777" w:rsidR="00BA3CBA" w:rsidRDefault="00EF1D77">
      <w:pPr>
        <w:pStyle w:val="TableofFigures"/>
        <w:tabs>
          <w:tab w:val="right" w:leader="dot" w:pos="9350"/>
        </w:tabs>
        <w:rPr>
          <w:rFonts w:asciiTheme="minorHAnsi" w:eastAsiaTheme="minorEastAsia" w:hAnsiTheme="minorHAnsi"/>
          <w:noProof/>
          <w:lang w:eastAsia="en-CA"/>
        </w:rPr>
      </w:pPr>
      <w:r>
        <w:rPr>
          <w:lang w:val="en-GB"/>
        </w:rPr>
        <w:fldChar w:fldCharType="begin"/>
      </w:r>
      <w:r>
        <w:rPr>
          <w:lang w:val="en-GB"/>
        </w:rPr>
        <w:instrText xml:space="preserve"> TOC \h \z \t "Table Heading" \c </w:instrText>
      </w:r>
      <w:r>
        <w:rPr>
          <w:lang w:val="en-GB"/>
        </w:rPr>
        <w:fldChar w:fldCharType="separate"/>
      </w:r>
      <w:hyperlink w:anchor="_Toc421190627" w:history="1">
        <w:r w:rsidR="00BA3CBA" w:rsidRPr="0082520F">
          <w:rPr>
            <w:rStyle w:val="Hyperlink"/>
            <w:noProof/>
          </w:rPr>
          <w:t>Table 1-1:  PRM Stated by Neighbouring Utilities</w:t>
        </w:r>
        <w:r w:rsidR="00BA3CBA">
          <w:rPr>
            <w:noProof/>
            <w:webHidden/>
          </w:rPr>
          <w:tab/>
        </w:r>
        <w:r w:rsidR="00BA3CBA">
          <w:rPr>
            <w:noProof/>
            <w:webHidden/>
          </w:rPr>
          <w:fldChar w:fldCharType="begin"/>
        </w:r>
        <w:r w:rsidR="00BA3CBA">
          <w:rPr>
            <w:noProof/>
            <w:webHidden/>
          </w:rPr>
          <w:instrText xml:space="preserve"> PAGEREF _Toc421190627 \h </w:instrText>
        </w:r>
        <w:r w:rsidR="00BA3CBA">
          <w:rPr>
            <w:noProof/>
            <w:webHidden/>
          </w:rPr>
        </w:r>
        <w:r w:rsidR="00BA3CBA">
          <w:rPr>
            <w:noProof/>
            <w:webHidden/>
          </w:rPr>
          <w:fldChar w:fldCharType="separate"/>
        </w:r>
        <w:r w:rsidR="004310B0">
          <w:rPr>
            <w:noProof/>
            <w:webHidden/>
          </w:rPr>
          <w:t>5</w:t>
        </w:r>
        <w:r w:rsidR="00BA3CBA">
          <w:rPr>
            <w:noProof/>
            <w:webHidden/>
          </w:rPr>
          <w:fldChar w:fldCharType="end"/>
        </w:r>
      </w:hyperlink>
    </w:p>
    <w:p w14:paraId="2497885B" w14:textId="77777777" w:rsidR="00BA3CBA" w:rsidRDefault="00780B28">
      <w:pPr>
        <w:pStyle w:val="TableofFigures"/>
        <w:tabs>
          <w:tab w:val="right" w:leader="dot" w:pos="9350"/>
        </w:tabs>
        <w:rPr>
          <w:rFonts w:asciiTheme="minorHAnsi" w:eastAsiaTheme="minorEastAsia" w:hAnsiTheme="minorHAnsi"/>
          <w:noProof/>
          <w:lang w:eastAsia="en-CA"/>
        </w:rPr>
      </w:pPr>
      <w:hyperlink w:anchor="_Toc421190628" w:history="1">
        <w:r w:rsidR="00BA3CBA" w:rsidRPr="0082520F">
          <w:rPr>
            <w:rStyle w:val="Hyperlink"/>
            <w:noProof/>
          </w:rPr>
          <w:t>Table 1-2:  NERC’s Regional Metrics and Methods for PRM</w:t>
        </w:r>
        <w:r w:rsidR="00BA3CBA">
          <w:rPr>
            <w:noProof/>
            <w:webHidden/>
          </w:rPr>
          <w:tab/>
        </w:r>
        <w:r w:rsidR="00BA3CBA">
          <w:rPr>
            <w:noProof/>
            <w:webHidden/>
          </w:rPr>
          <w:fldChar w:fldCharType="begin"/>
        </w:r>
        <w:r w:rsidR="00BA3CBA">
          <w:rPr>
            <w:noProof/>
            <w:webHidden/>
          </w:rPr>
          <w:instrText xml:space="preserve"> PAGEREF _Toc421190628 \h </w:instrText>
        </w:r>
        <w:r w:rsidR="00BA3CBA">
          <w:rPr>
            <w:noProof/>
            <w:webHidden/>
          </w:rPr>
        </w:r>
        <w:r w:rsidR="00BA3CBA">
          <w:rPr>
            <w:noProof/>
            <w:webHidden/>
          </w:rPr>
          <w:fldChar w:fldCharType="separate"/>
        </w:r>
        <w:r w:rsidR="004310B0">
          <w:rPr>
            <w:noProof/>
            <w:webHidden/>
          </w:rPr>
          <w:t>5</w:t>
        </w:r>
        <w:r w:rsidR="00BA3CBA">
          <w:rPr>
            <w:noProof/>
            <w:webHidden/>
          </w:rPr>
          <w:fldChar w:fldCharType="end"/>
        </w:r>
      </w:hyperlink>
    </w:p>
    <w:p w14:paraId="6456C653" w14:textId="77777777" w:rsidR="00BA3CBA" w:rsidRDefault="00780B28">
      <w:pPr>
        <w:pStyle w:val="TableofFigures"/>
        <w:tabs>
          <w:tab w:val="right" w:leader="dot" w:pos="9350"/>
        </w:tabs>
        <w:rPr>
          <w:rFonts w:asciiTheme="minorHAnsi" w:eastAsiaTheme="minorEastAsia" w:hAnsiTheme="minorHAnsi"/>
          <w:noProof/>
          <w:lang w:eastAsia="en-CA"/>
        </w:rPr>
      </w:pPr>
      <w:hyperlink w:anchor="_Toc421190629" w:history="1">
        <w:r w:rsidR="00BA3CBA" w:rsidRPr="0082520F">
          <w:rPr>
            <w:rStyle w:val="Hyperlink"/>
            <w:noProof/>
          </w:rPr>
          <w:t>Table 3-1:  LOLE in the Base Case (0.1 day per year as the target)</w:t>
        </w:r>
        <w:r w:rsidR="00BA3CBA">
          <w:rPr>
            <w:noProof/>
            <w:webHidden/>
          </w:rPr>
          <w:tab/>
        </w:r>
        <w:r w:rsidR="00BA3CBA">
          <w:rPr>
            <w:noProof/>
            <w:webHidden/>
          </w:rPr>
          <w:fldChar w:fldCharType="begin"/>
        </w:r>
        <w:r w:rsidR="00BA3CBA">
          <w:rPr>
            <w:noProof/>
            <w:webHidden/>
          </w:rPr>
          <w:instrText xml:space="preserve"> PAGEREF _Toc421190629 \h </w:instrText>
        </w:r>
        <w:r w:rsidR="00BA3CBA">
          <w:rPr>
            <w:noProof/>
            <w:webHidden/>
          </w:rPr>
        </w:r>
        <w:r w:rsidR="00BA3CBA">
          <w:rPr>
            <w:noProof/>
            <w:webHidden/>
          </w:rPr>
          <w:fldChar w:fldCharType="separate"/>
        </w:r>
        <w:r w:rsidR="004310B0">
          <w:rPr>
            <w:noProof/>
            <w:webHidden/>
          </w:rPr>
          <w:t>16</w:t>
        </w:r>
        <w:r w:rsidR="00BA3CBA">
          <w:rPr>
            <w:noProof/>
            <w:webHidden/>
          </w:rPr>
          <w:fldChar w:fldCharType="end"/>
        </w:r>
      </w:hyperlink>
    </w:p>
    <w:p w14:paraId="700351FD" w14:textId="77777777" w:rsidR="00BA3CBA" w:rsidRDefault="00780B28">
      <w:pPr>
        <w:pStyle w:val="TableofFigures"/>
        <w:tabs>
          <w:tab w:val="right" w:leader="dot" w:pos="9350"/>
        </w:tabs>
        <w:rPr>
          <w:rFonts w:asciiTheme="minorHAnsi" w:eastAsiaTheme="minorEastAsia" w:hAnsiTheme="minorHAnsi"/>
          <w:noProof/>
          <w:lang w:eastAsia="en-CA"/>
        </w:rPr>
      </w:pPr>
      <w:hyperlink w:anchor="_Toc421190630" w:history="1">
        <w:r w:rsidR="00BA3CBA" w:rsidRPr="0082520F">
          <w:rPr>
            <w:rStyle w:val="Hyperlink"/>
            <w:noProof/>
          </w:rPr>
          <w:t>Table 3-2:  Cases for Sensitivity Analysis</w:t>
        </w:r>
        <w:r w:rsidR="00BA3CBA">
          <w:rPr>
            <w:noProof/>
            <w:webHidden/>
          </w:rPr>
          <w:tab/>
        </w:r>
        <w:r w:rsidR="00BA3CBA">
          <w:rPr>
            <w:noProof/>
            <w:webHidden/>
          </w:rPr>
          <w:fldChar w:fldCharType="begin"/>
        </w:r>
        <w:r w:rsidR="00BA3CBA">
          <w:rPr>
            <w:noProof/>
            <w:webHidden/>
          </w:rPr>
          <w:instrText xml:space="preserve"> PAGEREF _Toc421190630 \h </w:instrText>
        </w:r>
        <w:r w:rsidR="00BA3CBA">
          <w:rPr>
            <w:noProof/>
            <w:webHidden/>
          </w:rPr>
        </w:r>
        <w:r w:rsidR="00BA3CBA">
          <w:rPr>
            <w:noProof/>
            <w:webHidden/>
          </w:rPr>
          <w:fldChar w:fldCharType="separate"/>
        </w:r>
        <w:r w:rsidR="004310B0">
          <w:rPr>
            <w:noProof/>
            <w:webHidden/>
          </w:rPr>
          <w:t>17</w:t>
        </w:r>
        <w:r w:rsidR="00BA3CBA">
          <w:rPr>
            <w:noProof/>
            <w:webHidden/>
          </w:rPr>
          <w:fldChar w:fldCharType="end"/>
        </w:r>
      </w:hyperlink>
    </w:p>
    <w:p w14:paraId="4A6D5012" w14:textId="77777777" w:rsidR="00BA3CBA" w:rsidRDefault="00780B28">
      <w:pPr>
        <w:pStyle w:val="TableofFigures"/>
        <w:tabs>
          <w:tab w:val="right" w:leader="dot" w:pos="9350"/>
        </w:tabs>
        <w:rPr>
          <w:rFonts w:asciiTheme="minorHAnsi" w:eastAsiaTheme="minorEastAsia" w:hAnsiTheme="minorHAnsi"/>
          <w:noProof/>
          <w:lang w:eastAsia="en-CA"/>
        </w:rPr>
      </w:pPr>
      <w:hyperlink w:anchor="_Toc421190631" w:history="1">
        <w:r w:rsidR="00BA3CBA" w:rsidRPr="0082520F">
          <w:rPr>
            <w:rStyle w:val="Hyperlink"/>
            <w:noProof/>
          </w:rPr>
          <w:t>Table 3-3:  LOLE in Case 1 – High Load Forecast Due to Economic Drivers</w:t>
        </w:r>
        <w:r w:rsidR="00BA3CBA">
          <w:rPr>
            <w:noProof/>
            <w:webHidden/>
          </w:rPr>
          <w:tab/>
        </w:r>
        <w:r w:rsidR="00BA3CBA">
          <w:rPr>
            <w:noProof/>
            <w:webHidden/>
          </w:rPr>
          <w:fldChar w:fldCharType="begin"/>
        </w:r>
        <w:r w:rsidR="00BA3CBA">
          <w:rPr>
            <w:noProof/>
            <w:webHidden/>
          </w:rPr>
          <w:instrText xml:space="preserve"> PAGEREF _Toc421190631 \h </w:instrText>
        </w:r>
        <w:r w:rsidR="00BA3CBA">
          <w:rPr>
            <w:noProof/>
            <w:webHidden/>
          </w:rPr>
        </w:r>
        <w:r w:rsidR="00BA3CBA">
          <w:rPr>
            <w:noProof/>
            <w:webHidden/>
          </w:rPr>
          <w:fldChar w:fldCharType="separate"/>
        </w:r>
        <w:r w:rsidR="004310B0">
          <w:rPr>
            <w:noProof/>
            <w:webHidden/>
          </w:rPr>
          <w:t>18</w:t>
        </w:r>
        <w:r w:rsidR="00BA3CBA">
          <w:rPr>
            <w:noProof/>
            <w:webHidden/>
          </w:rPr>
          <w:fldChar w:fldCharType="end"/>
        </w:r>
      </w:hyperlink>
    </w:p>
    <w:p w14:paraId="5EA59170" w14:textId="77777777" w:rsidR="00BA3CBA" w:rsidRDefault="00780B28">
      <w:pPr>
        <w:pStyle w:val="TableofFigures"/>
        <w:tabs>
          <w:tab w:val="right" w:leader="dot" w:pos="9350"/>
        </w:tabs>
        <w:rPr>
          <w:rFonts w:asciiTheme="minorHAnsi" w:eastAsiaTheme="minorEastAsia" w:hAnsiTheme="minorHAnsi"/>
          <w:noProof/>
          <w:lang w:eastAsia="en-CA"/>
        </w:rPr>
      </w:pPr>
      <w:hyperlink w:anchor="_Toc421190632" w:history="1">
        <w:r w:rsidR="00BA3CBA" w:rsidRPr="0082520F">
          <w:rPr>
            <w:rStyle w:val="Hyperlink"/>
            <w:noProof/>
          </w:rPr>
          <w:t>Table 3-4:  LOLE in Case 2 – Self-generating Industrial Customer Load</w:t>
        </w:r>
        <w:r w:rsidR="00BA3CBA">
          <w:rPr>
            <w:noProof/>
            <w:webHidden/>
          </w:rPr>
          <w:tab/>
        </w:r>
        <w:r w:rsidR="00BA3CBA">
          <w:rPr>
            <w:noProof/>
            <w:webHidden/>
          </w:rPr>
          <w:fldChar w:fldCharType="begin"/>
        </w:r>
        <w:r w:rsidR="00BA3CBA">
          <w:rPr>
            <w:noProof/>
            <w:webHidden/>
          </w:rPr>
          <w:instrText xml:space="preserve"> PAGEREF _Toc421190632 \h </w:instrText>
        </w:r>
        <w:r w:rsidR="00BA3CBA">
          <w:rPr>
            <w:noProof/>
            <w:webHidden/>
          </w:rPr>
        </w:r>
        <w:r w:rsidR="00BA3CBA">
          <w:rPr>
            <w:noProof/>
            <w:webHidden/>
          </w:rPr>
          <w:fldChar w:fldCharType="separate"/>
        </w:r>
        <w:r w:rsidR="004310B0">
          <w:rPr>
            <w:noProof/>
            <w:webHidden/>
          </w:rPr>
          <w:t>18</w:t>
        </w:r>
        <w:r w:rsidR="00BA3CBA">
          <w:rPr>
            <w:noProof/>
            <w:webHidden/>
          </w:rPr>
          <w:fldChar w:fldCharType="end"/>
        </w:r>
      </w:hyperlink>
    </w:p>
    <w:p w14:paraId="10C959CB" w14:textId="77777777" w:rsidR="00BA3CBA" w:rsidRDefault="00780B28">
      <w:pPr>
        <w:pStyle w:val="TableofFigures"/>
        <w:tabs>
          <w:tab w:val="right" w:leader="dot" w:pos="9350"/>
        </w:tabs>
        <w:rPr>
          <w:rFonts w:asciiTheme="minorHAnsi" w:eastAsiaTheme="minorEastAsia" w:hAnsiTheme="minorHAnsi"/>
          <w:noProof/>
          <w:lang w:eastAsia="en-CA"/>
        </w:rPr>
      </w:pPr>
      <w:hyperlink w:anchor="_Toc421190633" w:history="1">
        <w:r w:rsidR="00BA3CBA" w:rsidRPr="0082520F">
          <w:rPr>
            <w:rStyle w:val="Hyperlink"/>
            <w:noProof/>
          </w:rPr>
          <w:t>Table 3</w:t>
        </w:r>
        <w:r w:rsidR="00BA3CBA" w:rsidRPr="0082520F">
          <w:rPr>
            <w:rStyle w:val="Hyperlink"/>
            <w:noProof/>
          </w:rPr>
          <w:noBreakHyphen/>
          <w:t>5:  LOLE in Case 3 – Time of Seasonal Peaks</w:t>
        </w:r>
        <w:r w:rsidR="00BA3CBA">
          <w:rPr>
            <w:noProof/>
            <w:webHidden/>
          </w:rPr>
          <w:tab/>
        </w:r>
        <w:r w:rsidR="00BA3CBA">
          <w:rPr>
            <w:noProof/>
            <w:webHidden/>
          </w:rPr>
          <w:fldChar w:fldCharType="begin"/>
        </w:r>
        <w:r w:rsidR="00BA3CBA">
          <w:rPr>
            <w:noProof/>
            <w:webHidden/>
          </w:rPr>
          <w:instrText xml:space="preserve"> PAGEREF _Toc421190633 \h </w:instrText>
        </w:r>
        <w:r w:rsidR="00BA3CBA">
          <w:rPr>
            <w:noProof/>
            <w:webHidden/>
          </w:rPr>
        </w:r>
        <w:r w:rsidR="00BA3CBA">
          <w:rPr>
            <w:noProof/>
            <w:webHidden/>
          </w:rPr>
          <w:fldChar w:fldCharType="separate"/>
        </w:r>
        <w:r w:rsidR="004310B0">
          <w:rPr>
            <w:noProof/>
            <w:webHidden/>
          </w:rPr>
          <w:t>19</w:t>
        </w:r>
        <w:r w:rsidR="00BA3CBA">
          <w:rPr>
            <w:noProof/>
            <w:webHidden/>
          </w:rPr>
          <w:fldChar w:fldCharType="end"/>
        </w:r>
      </w:hyperlink>
    </w:p>
    <w:p w14:paraId="17868E00" w14:textId="77777777" w:rsidR="00BA3CBA" w:rsidRDefault="00780B28">
      <w:pPr>
        <w:pStyle w:val="TableofFigures"/>
        <w:tabs>
          <w:tab w:val="right" w:leader="dot" w:pos="9350"/>
        </w:tabs>
        <w:rPr>
          <w:rFonts w:asciiTheme="minorHAnsi" w:eastAsiaTheme="minorEastAsia" w:hAnsiTheme="minorHAnsi"/>
          <w:noProof/>
          <w:lang w:eastAsia="en-CA"/>
        </w:rPr>
      </w:pPr>
      <w:hyperlink w:anchor="_Toc421190634" w:history="1">
        <w:r w:rsidR="00BA3CBA" w:rsidRPr="0082520F">
          <w:rPr>
            <w:rStyle w:val="Hyperlink"/>
            <w:noProof/>
          </w:rPr>
          <w:t xml:space="preserve">Table 3-6:  </w:t>
        </w:r>
        <w:r w:rsidR="00BA3CBA" w:rsidRPr="0082520F">
          <w:rPr>
            <w:rStyle w:val="Hyperlink"/>
            <w:noProof/>
            <w:lang w:val="en-US"/>
          </w:rPr>
          <w:t>LOLE</w:t>
        </w:r>
        <w:r w:rsidR="00BA3CBA" w:rsidRPr="0082520F">
          <w:rPr>
            <w:rStyle w:val="Hyperlink"/>
            <w:noProof/>
          </w:rPr>
          <w:t xml:space="preserve"> in Case 4 - </w:t>
        </w:r>
        <w:r w:rsidR="00BA3CBA" w:rsidRPr="0082520F">
          <w:rPr>
            <w:rStyle w:val="Hyperlink"/>
            <w:noProof/>
            <w:lang w:val="en-US"/>
          </w:rPr>
          <w:t>WAX FOR Variations</w:t>
        </w:r>
        <w:r w:rsidR="00BA3CBA">
          <w:rPr>
            <w:noProof/>
            <w:webHidden/>
          </w:rPr>
          <w:tab/>
        </w:r>
        <w:r w:rsidR="00BA3CBA">
          <w:rPr>
            <w:noProof/>
            <w:webHidden/>
          </w:rPr>
          <w:fldChar w:fldCharType="begin"/>
        </w:r>
        <w:r w:rsidR="00BA3CBA">
          <w:rPr>
            <w:noProof/>
            <w:webHidden/>
          </w:rPr>
          <w:instrText xml:space="preserve"> PAGEREF _Toc421190634 \h </w:instrText>
        </w:r>
        <w:r w:rsidR="00BA3CBA">
          <w:rPr>
            <w:noProof/>
            <w:webHidden/>
          </w:rPr>
        </w:r>
        <w:r w:rsidR="00BA3CBA">
          <w:rPr>
            <w:noProof/>
            <w:webHidden/>
          </w:rPr>
          <w:fldChar w:fldCharType="separate"/>
        </w:r>
        <w:r w:rsidR="004310B0">
          <w:rPr>
            <w:noProof/>
            <w:webHidden/>
          </w:rPr>
          <w:t>20</w:t>
        </w:r>
        <w:r w:rsidR="00BA3CBA">
          <w:rPr>
            <w:noProof/>
            <w:webHidden/>
          </w:rPr>
          <w:fldChar w:fldCharType="end"/>
        </w:r>
      </w:hyperlink>
    </w:p>
    <w:p w14:paraId="200253E5" w14:textId="77777777" w:rsidR="00BA3CBA" w:rsidRDefault="00780B28">
      <w:pPr>
        <w:pStyle w:val="TableofFigures"/>
        <w:tabs>
          <w:tab w:val="right" w:leader="dot" w:pos="9350"/>
        </w:tabs>
        <w:rPr>
          <w:rFonts w:asciiTheme="minorHAnsi" w:eastAsiaTheme="minorEastAsia" w:hAnsiTheme="minorHAnsi"/>
          <w:noProof/>
          <w:lang w:eastAsia="en-CA"/>
        </w:rPr>
      </w:pPr>
      <w:hyperlink w:anchor="_Toc421190635" w:history="1">
        <w:r w:rsidR="00BA3CBA" w:rsidRPr="0082520F">
          <w:rPr>
            <w:rStyle w:val="Hyperlink"/>
            <w:noProof/>
          </w:rPr>
          <w:t>Table 3-7:  Case 5 – FOR of Own Resources</w:t>
        </w:r>
        <w:r w:rsidR="00BA3CBA">
          <w:rPr>
            <w:noProof/>
            <w:webHidden/>
          </w:rPr>
          <w:tab/>
        </w:r>
        <w:r w:rsidR="00BA3CBA">
          <w:rPr>
            <w:noProof/>
            <w:webHidden/>
          </w:rPr>
          <w:fldChar w:fldCharType="begin"/>
        </w:r>
        <w:r w:rsidR="00BA3CBA">
          <w:rPr>
            <w:noProof/>
            <w:webHidden/>
          </w:rPr>
          <w:instrText xml:space="preserve"> PAGEREF _Toc421190635 \h </w:instrText>
        </w:r>
        <w:r w:rsidR="00BA3CBA">
          <w:rPr>
            <w:noProof/>
            <w:webHidden/>
          </w:rPr>
        </w:r>
        <w:r w:rsidR="00BA3CBA">
          <w:rPr>
            <w:noProof/>
            <w:webHidden/>
          </w:rPr>
          <w:fldChar w:fldCharType="separate"/>
        </w:r>
        <w:r w:rsidR="004310B0">
          <w:rPr>
            <w:noProof/>
            <w:webHidden/>
          </w:rPr>
          <w:t>20</w:t>
        </w:r>
        <w:r w:rsidR="00BA3CBA">
          <w:rPr>
            <w:noProof/>
            <w:webHidden/>
          </w:rPr>
          <w:fldChar w:fldCharType="end"/>
        </w:r>
      </w:hyperlink>
    </w:p>
    <w:p w14:paraId="14592D05" w14:textId="77777777" w:rsidR="00BA3CBA" w:rsidRDefault="00780B28">
      <w:pPr>
        <w:pStyle w:val="TableofFigures"/>
        <w:tabs>
          <w:tab w:val="right" w:leader="dot" w:pos="9350"/>
        </w:tabs>
        <w:rPr>
          <w:rFonts w:asciiTheme="minorHAnsi" w:eastAsiaTheme="minorEastAsia" w:hAnsiTheme="minorHAnsi"/>
          <w:noProof/>
          <w:lang w:eastAsia="en-CA"/>
        </w:rPr>
      </w:pPr>
      <w:hyperlink w:anchor="_Toc421190636" w:history="1">
        <w:r w:rsidR="00BA3CBA" w:rsidRPr="0082520F">
          <w:rPr>
            <w:rStyle w:val="Hyperlink"/>
            <w:noProof/>
          </w:rPr>
          <w:t>Table 3-8:  LOLE in Case 6 – Firming up WAX Surplus</w:t>
        </w:r>
        <w:r w:rsidR="00BA3CBA">
          <w:rPr>
            <w:noProof/>
            <w:webHidden/>
          </w:rPr>
          <w:tab/>
        </w:r>
        <w:r w:rsidR="00BA3CBA">
          <w:rPr>
            <w:noProof/>
            <w:webHidden/>
          </w:rPr>
          <w:fldChar w:fldCharType="begin"/>
        </w:r>
        <w:r w:rsidR="00BA3CBA">
          <w:rPr>
            <w:noProof/>
            <w:webHidden/>
          </w:rPr>
          <w:instrText xml:space="preserve"> PAGEREF _Toc421190636 \h </w:instrText>
        </w:r>
        <w:r w:rsidR="00BA3CBA">
          <w:rPr>
            <w:noProof/>
            <w:webHidden/>
          </w:rPr>
        </w:r>
        <w:r w:rsidR="00BA3CBA">
          <w:rPr>
            <w:noProof/>
            <w:webHidden/>
          </w:rPr>
          <w:fldChar w:fldCharType="separate"/>
        </w:r>
        <w:r w:rsidR="004310B0">
          <w:rPr>
            <w:noProof/>
            <w:webHidden/>
          </w:rPr>
          <w:t>21</w:t>
        </w:r>
        <w:r w:rsidR="00BA3CBA">
          <w:rPr>
            <w:noProof/>
            <w:webHidden/>
          </w:rPr>
          <w:fldChar w:fldCharType="end"/>
        </w:r>
      </w:hyperlink>
    </w:p>
    <w:p w14:paraId="3C20CE77" w14:textId="77777777" w:rsidR="00BA3CBA" w:rsidRDefault="00780B28">
      <w:pPr>
        <w:pStyle w:val="TableofFigures"/>
        <w:tabs>
          <w:tab w:val="right" w:leader="dot" w:pos="9350"/>
        </w:tabs>
        <w:rPr>
          <w:rFonts w:asciiTheme="minorHAnsi" w:eastAsiaTheme="minorEastAsia" w:hAnsiTheme="minorHAnsi"/>
          <w:noProof/>
          <w:lang w:eastAsia="en-CA"/>
        </w:rPr>
      </w:pPr>
      <w:hyperlink w:anchor="_Toc421190637" w:history="1">
        <w:r w:rsidR="00BA3CBA" w:rsidRPr="0082520F">
          <w:rPr>
            <w:rStyle w:val="Hyperlink"/>
            <w:noProof/>
          </w:rPr>
          <w:t>Table 3-9:  Case 7 - No Additional Capacity for Expected Capacity Gaps</w:t>
        </w:r>
        <w:r w:rsidR="00BA3CBA">
          <w:rPr>
            <w:noProof/>
            <w:webHidden/>
          </w:rPr>
          <w:tab/>
        </w:r>
        <w:r w:rsidR="00BA3CBA">
          <w:rPr>
            <w:noProof/>
            <w:webHidden/>
          </w:rPr>
          <w:fldChar w:fldCharType="begin"/>
        </w:r>
        <w:r w:rsidR="00BA3CBA">
          <w:rPr>
            <w:noProof/>
            <w:webHidden/>
          </w:rPr>
          <w:instrText xml:space="preserve"> PAGEREF _Toc421190637 \h </w:instrText>
        </w:r>
        <w:r w:rsidR="00BA3CBA">
          <w:rPr>
            <w:noProof/>
            <w:webHidden/>
          </w:rPr>
        </w:r>
        <w:r w:rsidR="00BA3CBA">
          <w:rPr>
            <w:noProof/>
            <w:webHidden/>
          </w:rPr>
          <w:fldChar w:fldCharType="separate"/>
        </w:r>
        <w:r w:rsidR="004310B0">
          <w:rPr>
            <w:noProof/>
            <w:webHidden/>
          </w:rPr>
          <w:t>22</w:t>
        </w:r>
        <w:r w:rsidR="00BA3CBA">
          <w:rPr>
            <w:noProof/>
            <w:webHidden/>
          </w:rPr>
          <w:fldChar w:fldCharType="end"/>
        </w:r>
      </w:hyperlink>
    </w:p>
    <w:p w14:paraId="519D872B" w14:textId="77777777" w:rsidR="00BA3CBA" w:rsidRDefault="00780B28">
      <w:pPr>
        <w:pStyle w:val="TableofFigures"/>
        <w:tabs>
          <w:tab w:val="right" w:leader="dot" w:pos="9350"/>
        </w:tabs>
        <w:rPr>
          <w:rFonts w:asciiTheme="minorHAnsi" w:eastAsiaTheme="minorEastAsia" w:hAnsiTheme="minorHAnsi"/>
          <w:noProof/>
          <w:lang w:eastAsia="en-CA"/>
        </w:rPr>
      </w:pPr>
      <w:hyperlink w:anchor="_Toc421190638" w:history="1">
        <w:r w:rsidR="00BA3CBA" w:rsidRPr="0082520F">
          <w:rPr>
            <w:rStyle w:val="Hyperlink"/>
            <w:noProof/>
          </w:rPr>
          <w:t xml:space="preserve">Table 3-10:  Case 8- </w:t>
        </w:r>
        <w:r w:rsidR="00BA3CBA" w:rsidRPr="0082520F">
          <w:rPr>
            <w:rStyle w:val="Hyperlink"/>
            <w:noProof/>
            <w:lang w:val="en-US"/>
          </w:rPr>
          <w:t>LOLE at Different Market Sizes</w:t>
        </w:r>
        <w:r w:rsidR="00BA3CBA">
          <w:rPr>
            <w:noProof/>
            <w:webHidden/>
          </w:rPr>
          <w:tab/>
        </w:r>
        <w:r w:rsidR="00BA3CBA">
          <w:rPr>
            <w:noProof/>
            <w:webHidden/>
          </w:rPr>
          <w:fldChar w:fldCharType="begin"/>
        </w:r>
        <w:r w:rsidR="00BA3CBA">
          <w:rPr>
            <w:noProof/>
            <w:webHidden/>
          </w:rPr>
          <w:instrText xml:space="preserve"> PAGEREF _Toc421190638 \h </w:instrText>
        </w:r>
        <w:r w:rsidR="00BA3CBA">
          <w:rPr>
            <w:noProof/>
            <w:webHidden/>
          </w:rPr>
        </w:r>
        <w:r w:rsidR="00BA3CBA">
          <w:rPr>
            <w:noProof/>
            <w:webHidden/>
          </w:rPr>
          <w:fldChar w:fldCharType="separate"/>
        </w:r>
        <w:r w:rsidR="004310B0">
          <w:rPr>
            <w:noProof/>
            <w:webHidden/>
          </w:rPr>
          <w:t>22</w:t>
        </w:r>
        <w:r w:rsidR="00BA3CBA">
          <w:rPr>
            <w:noProof/>
            <w:webHidden/>
          </w:rPr>
          <w:fldChar w:fldCharType="end"/>
        </w:r>
      </w:hyperlink>
    </w:p>
    <w:p w14:paraId="23575198" w14:textId="77777777" w:rsidR="00BA3CBA" w:rsidRDefault="00780B28">
      <w:pPr>
        <w:pStyle w:val="TableofFigures"/>
        <w:tabs>
          <w:tab w:val="right" w:leader="dot" w:pos="9350"/>
        </w:tabs>
        <w:rPr>
          <w:rFonts w:asciiTheme="minorHAnsi" w:eastAsiaTheme="minorEastAsia" w:hAnsiTheme="minorHAnsi"/>
          <w:noProof/>
          <w:lang w:eastAsia="en-CA"/>
        </w:rPr>
      </w:pPr>
      <w:hyperlink w:anchor="_Toc421190639" w:history="1">
        <w:r w:rsidR="00BA3CBA" w:rsidRPr="0082520F">
          <w:rPr>
            <w:rStyle w:val="Hyperlink"/>
            <w:noProof/>
          </w:rPr>
          <w:t xml:space="preserve">Table 3-11:  Case 9 - </w:t>
        </w:r>
        <w:r w:rsidR="00BA3CBA" w:rsidRPr="0082520F">
          <w:rPr>
            <w:rStyle w:val="Hyperlink"/>
            <w:noProof/>
            <w:lang w:val="en-US"/>
          </w:rPr>
          <w:t>Additional Planned Capacity (MW) to Reach LOLE Target with no Market</w:t>
        </w:r>
        <w:r w:rsidR="00BA3CBA">
          <w:rPr>
            <w:noProof/>
            <w:webHidden/>
          </w:rPr>
          <w:tab/>
        </w:r>
        <w:r w:rsidR="00BA3CBA">
          <w:rPr>
            <w:noProof/>
            <w:webHidden/>
          </w:rPr>
          <w:fldChar w:fldCharType="begin"/>
        </w:r>
        <w:r w:rsidR="00BA3CBA">
          <w:rPr>
            <w:noProof/>
            <w:webHidden/>
          </w:rPr>
          <w:instrText xml:space="preserve"> PAGEREF _Toc421190639 \h </w:instrText>
        </w:r>
        <w:r w:rsidR="00BA3CBA">
          <w:rPr>
            <w:noProof/>
            <w:webHidden/>
          </w:rPr>
        </w:r>
        <w:r w:rsidR="00BA3CBA">
          <w:rPr>
            <w:noProof/>
            <w:webHidden/>
          </w:rPr>
          <w:fldChar w:fldCharType="separate"/>
        </w:r>
        <w:r w:rsidR="004310B0">
          <w:rPr>
            <w:noProof/>
            <w:webHidden/>
          </w:rPr>
          <w:t>24</w:t>
        </w:r>
        <w:r w:rsidR="00BA3CBA">
          <w:rPr>
            <w:noProof/>
            <w:webHidden/>
          </w:rPr>
          <w:fldChar w:fldCharType="end"/>
        </w:r>
      </w:hyperlink>
    </w:p>
    <w:p w14:paraId="67E1E6F1" w14:textId="77777777" w:rsidR="00BA3CBA" w:rsidRDefault="00780B28">
      <w:pPr>
        <w:pStyle w:val="TableofFigures"/>
        <w:tabs>
          <w:tab w:val="right" w:leader="dot" w:pos="9350"/>
        </w:tabs>
        <w:rPr>
          <w:rFonts w:asciiTheme="minorHAnsi" w:eastAsiaTheme="minorEastAsia" w:hAnsiTheme="minorHAnsi"/>
          <w:noProof/>
          <w:lang w:eastAsia="en-CA"/>
        </w:rPr>
      </w:pPr>
      <w:hyperlink w:anchor="_Toc421190640" w:history="1">
        <w:r w:rsidR="00BA3CBA" w:rsidRPr="0082520F">
          <w:rPr>
            <w:rStyle w:val="Hyperlink"/>
            <w:noProof/>
          </w:rPr>
          <w:t>Table 3-12:  LOLE at Different Market FOR Equivalent</w:t>
        </w:r>
        <w:r w:rsidR="00BA3CBA">
          <w:rPr>
            <w:noProof/>
            <w:webHidden/>
          </w:rPr>
          <w:tab/>
        </w:r>
        <w:r w:rsidR="00BA3CBA">
          <w:rPr>
            <w:noProof/>
            <w:webHidden/>
          </w:rPr>
          <w:fldChar w:fldCharType="begin"/>
        </w:r>
        <w:r w:rsidR="00BA3CBA">
          <w:rPr>
            <w:noProof/>
            <w:webHidden/>
          </w:rPr>
          <w:instrText xml:space="preserve"> PAGEREF _Toc421190640 \h </w:instrText>
        </w:r>
        <w:r w:rsidR="00BA3CBA">
          <w:rPr>
            <w:noProof/>
            <w:webHidden/>
          </w:rPr>
        </w:r>
        <w:r w:rsidR="00BA3CBA">
          <w:rPr>
            <w:noProof/>
            <w:webHidden/>
          </w:rPr>
          <w:fldChar w:fldCharType="separate"/>
        </w:r>
        <w:r w:rsidR="004310B0">
          <w:rPr>
            <w:noProof/>
            <w:webHidden/>
          </w:rPr>
          <w:t>24</w:t>
        </w:r>
        <w:r w:rsidR="00BA3CBA">
          <w:rPr>
            <w:noProof/>
            <w:webHidden/>
          </w:rPr>
          <w:fldChar w:fldCharType="end"/>
        </w:r>
      </w:hyperlink>
    </w:p>
    <w:p w14:paraId="14E86408" w14:textId="5F197B76" w:rsidR="00EF1D77" w:rsidRDefault="00EF1D77" w:rsidP="00EF1D77">
      <w:pPr>
        <w:rPr>
          <w:lang w:val="en-GB"/>
        </w:rPr>
      </w:pPr>
      <w:r>
        <w:rPr>
          <w:lang w:val="en-GB"/>
        </w:rPr>
        <w:fldChar w:fldCharType="end"/>
      </w:r>
    </w:p>
    <w:p w14:paraId="7E8E29D6" w14:textId="77777777" w:rsidR="00BA3CBA" w:rsidRDefault="00EF1D77">
      <w:pPr>
        <w:pStyle w:val="TableofFigures"/>
        <w:tabs>
          <w:tab w:val="right" w:leader="dot" w:pos="9350"/>
        </w:tabs>
        <w:rPr>
          <w:rFonts w:asciiTheme="minorHAnsi" w:eastAsiaTheme="minorEastAsia" w:hAnsiTheme="minorHAnsi"/>
          <w:noProof/>
          <w:lang w:eastAsia="en-CA"/>
        </w:rPr>
      </w:pPr>
      <w:r>
        <w:rPr>
          <w:lang w:val="en-GB"/>
        </w:rPr>
        <w:fldChar w:fldCharType="begin"/>
      </w:r>
      <w:r>
        <w:rPr>
          <w:lang w:val="en-GB"/>
        </w:rPr>
        <w:instrText xml:space="preserve"> TOC \h \z \t "Figure Heading" \c </w:instrText>
      </w:r>
      <w:r>
        <w:rPr>
          <w:lang w:val="en-GB"/>
        </w:rPr>
        <w:fldChar w:fldCharType="separate"/>
      </w:r>
      <w:hyperlink w:anchor="_Toc421190641" w:history="1">
        <w:r w:rsidR="00BA3CBA" w:rsidRPr="005410F2">
          <w:rPr>
            <w:rStyle w:val="Hyperlink"/>
            <w:noProof/>
          </w:rPr>
          <w:t>Figure 2-1:  Load Profile Examples</w:t>
        </w:r>
        <w:r w:rsidR="00BA3CBA">
          <w:rPr>
            <w:noProof/>
            <w:webHidden/>
          </w:rPr>
          <w:tab/>
        </w:r>
        <w:r w:rsidR="00BA3CBA">
          <w:rPr>
            <w:noProof/>
            <w:webHidden/>
          </w:rPr>
          <w:fldChar w:fldCharType="begin"/>
        </w:r>
        <w:r w:rsidR="00BA3CBA">
          <w:rPr>
            <w:noProof/>
            <w:webHidden/>
          </w:rPr>
          <w:instrText xml:space="preserve"> PAGEREF _Toc421190641 \h </w:instrText>
        </w:r>
        <w:r w:rsidR="00BA3CBA">
          <w:rPr>
            <w:noProof/>
            <w:webHidden/>
          </w:rPr>
        </w:r>
        <w:r w:rsidR="00BA3CBA">
          <w:rPr>
            <w:noProof/>
            <w:webHidden/>
          </w:rPr>
          <w:fldChar w:fldCharType="separate"/>
        </w:r>
        <w:r w:rsidR="004310B0">
          <w:rPr>
            <w:noProof/>
            <w:webHidden/>
          </w:rPr>
          <w:t>14</w:t>
        </w:r>
        <w:r w:rsidR="00BA3CBA">
          <w:rPr>
            <w:noProof/>
            <w:webHidden/>
          </w:rPr>
          <w:fldChar w:fldCharType="end"/>
        </w:r>
      </w:hyperlink>
    </w:p>
    <w:p w14:paraId="2EE7E5C7" w14:textId="77777777" w:rsidR="00BA3CBA" w:rsidRDefault="00780B28">
      <w:pPr>
        <w:pStyle w:val="TableofFigures"/>
        <w:tabs>
          <w:tab w:val="right" w:leader="dot" w:pos="9350"/>
        </w:tabs>
        <w:rPr>
          <w:rFonts w:asciiTheme="minorHAnsi" w:eastAsiaTheme="minorEastAsia" w:hAnsiTheme="minorHAnsi"/>
          <w:noProof/>
          <w:lang w:eastAsia="en-CA"/>
        </w:rPr>
      </w:pPr>
      <w:hyperlink w:anchor="_Toc421190642" w:history="1">
        <w:r w:rsidR="00BA3CBA" w:rsidRPr="005410F2">
          <w:rPr>
            <w:rStyle w:val="Hyperlink"/>
            <w:noProof/>
          </w:rPr>
          <w:t>Figure 3-1:  Simulation Convergence</w:t>
        </w:r>
        <w:r w:rsidR="00BA3CBA">
          <w:rPr>
            <w:noProof/>
            <w:webHidden/>
          </w:rPr>
          <w:tab/>
        </w:r>
        <w:r w:rsidR="00BA3CBA">
          <w:rPr>
            <w:noProof/>
            <w:webHidden/>
          </w:rPr>
          <w:fldChar w:fldCharType="begin"/>
        </w:r>
        <w:r w:rsidR="00BA3CBA">
          <w:rPr>
            <w:noProof/>
            <w:webHidden/>
          </w:rPr>
          <w:instrText xml:space="preserve"> PAGEREF _Toc421190642 \h </w:instrText>
        </w:r>
        <w:r w:rsidR="00BA3CBA">
          <w:rPr>
            <w:noProof/>
            <w:webHidden/>
          </w:rPr>
        </w:r>
        <w:r w:rsidR="00BA3CBA">
          <w:rPr>
            <w:noProof/>
            <w:webHidden/>
          </w:rPr>
          <w:fldChar w:fldCharType="separate"/>
        </w:r>
        <w:r w:rsidR="004310B0">
          <w:rPr>
            <w:noProof/>
            <w:webHidden/>
          </w:rPr>
          <w:t>16</w:t>
        </w:r>
        <w:r w:rsidR="00BA3CBA">
          <w:rPr>
            <w:noProof/>
            <w:webHidden/>
          </w:rPr>
          <w:fldChar w:fldCharType="end"/>
        </w:r>
      </w:hyperlink>
    </w:p>
    <w:p w14:paraId="1166D558" w14:textId="77777777" w:rsidR="00BA3CBA" w:rsidRDefault="00780B28">
      <w:pPr>
        <w:pStyle w:val="TableofFigures"/>
        <w:tabs>
          <w:tab w:val="right" w:leader="dot" w:pos="9350"/>
        </w:tabs>
        <w:rPr>
          <w:rFonts w:asciiTheme="minorHAnsi" w:eastAsiaTheme="minorEastAsia" w:hAnsiTheme="minorHAnsi"/>
          <w:noProof/>
          <w:lang w:eastAsia="en-CA"/>
        </w:rPr>
      </w:pPr>
      <w:hyperlink w:anchor="_Toc421190643" w:history="1">
        <w:r w:rsidR="00BA3CBA" w:rsidRPr="005410F2">
          <w:rPr>
            <w:rStyle w:val="Hyperlink"/>
            <w:noProof/>
          </w:rPr>
          <w:t xml:space="preserve">Figure 3-2:  </w:t>
        </w:r>
        <w:r w:rsidR="00BA3CBA" w:rsidRPr="005410F2">
          <w:rPr>
            <w:rStyle w:val="Hyperlink"/>
            <w:noProof/>
            <w:lang w:val="en-US"/>
          </w:rPr>
          <w:t>LOLE at Different Market Sizes</w:t>
        </w:r>
        <w:r w:rsidR="00BA3CBA">
          <w:rPr>
            <w:noProof/>
            <w:webHidden/>
          </w:rPr>
          <w:tab/>
        </w:r>
        <w:r w:rsidR="00BA3CBA">
          <w:rPr>
            <w:noProof/>
            <w:webHidden/>
          </w:rPr>
          <w:fldChar w:fldCharType="begin"/>
        </w:r>
        <w:r w:rsidR="00BA3CBA">
          <w:rPr>
            <w:noProof/>
            <w:webHidden/>
          </w:rPr>
          <w:instrText xml:space="preserve"> PAGEREF _Toc421190643 \h </w:instrText>
        </w:r>
        <w:r w:rsidR="00BA3CBA">
          <w:rPr>
            <w:noProof/>
            <w:webHidden/>
          </w:rPr>
        </w:r>
        <w:r w:rsidR="00BA3CBA">
          <w:rPr>
            <w:noProof/>
            <w:webHidden/>
          </w:rPr>
          <w:fldChar w:fldCharType="separate"/>
        </w:r>
        <w:r w:rsidR="004310B0">
          <w:rPr>
            <w:noProof/>
            <w:webHidden/>
          </w:rPr>
          <w:t>23</w:t>
        </w:r>
        <w:r w:rsidR="00BA3CBA">
          <w:rPr>
            <w:noProof/>
            <w:webHidden/>
          </w:rPr>
          <w:fldChar w:fldCharType="end"/>
        </w:r>
      </w:hyperlink>
    </w:p>
    <w:p w14:paraId="31134079" w14:textId="77777777" w:rsidR="00BA3CBA" w:rsidRDefault="00780B28">
      <w:pPr>
        <w:pStyle w:val="TableofFigures"/>
        <w:tabs>
          <w:tab w:val="right" w:leader="dot" w:pos="9350"/>
        </w:tabs>
        <w:rPr>
          <w:rFonts w:asciiTheme="minorHAnsi" w:eastAsiaTheme="minorEastAsia" w:hAnsiTheme="minorHAnsi"/>
          <w:noProof/>
          <w:lang w:eastAsia="en-CA"/>
        </w:rPr>
      </w:pPr>
      <w:hyperlink w:anchor="_Toc421190644" w:history="1">
        <w:r w:rsidR="00BA3CBA" w:rsidRPr="005410F2">
          <w:rPr>
            <w:rStyle w:val="Hyperlink"/>
            <w:noProof/>
          </w:rPr>
          <w:t>Figure 3-3:  LOLEs at Different Market FORs Equivalent</w:t>
        </w:r>
        <w:r w:rsidR="00BA3CBA">
          <w:rPr>
            <w:noProof/>
            <w:webHidden/>
          </w:rPr>
          <w:tab/>
        </w:r>
        <w:r w:rsidR="00BA3CBA">
          <w:rPr>
            <w:noProof/>
            <w:webHidden/>
          </w:rPr>
          <w:fldChar w:fldCharType="begin"/>
        </w:r>
        <w:r w:rsidR="00BA3CBA">
          <w:rPr>
            <w:noProof/>
            <w:webHidden/>
          </w:rPr>
          <w:instrText xml:space="preserve"> PAGEREF _Toc421190644 \h </w:instrText>
        </w:r>
        <w:r w:rsidR="00BA3CBA">
          <w:rPr>
            <w:noProof/>
            <w:webHidden/>
          </w:rPr>
        </w:r>
        <w:r w:rsidR="00BA3CBA">
          <w:rPr>
            <w:noProof/>
            <w:webHidden/>
          </w:rPr>
          <w:fldChar w:fldCharType="separate"/>
        </w:r>
        <w:r w:rsidR="004310B0">
          <w:rPr>
            <w:noProof/>
            <w:webHidden/>
          </w:rPr>
          <w:t>25</w:t>
        </w:r>
        <w:r w:rsidR="00BA3CBA">
          <w:rPr>
            <w:noProof/>
            <w:webHidden/>
          </w:rPr>
          <w:fldChar w:fldCharType="end"/>
        </w:r>
      </w:hyperlink>
    </w:p>
    <w:p w14:paraId="6D72876E" w14:textId="77777777" w:rsidR="00EF1D77" w:rsidRDefault="00EF1D77" w:rsidP="00EF1D77">
      <w:pPr>
        <w:rPr>
          <w:lang w:val="en-GB"/>
        </w:rPr>
      </w:pPr>
      <w:r>
        <w:rPr>
          <w:lang w:val="en-GB"/>
        </w:rPr>
        <w:fldChar w:fldCharType="end"/>
      </w:r>
    </w:p>
    <w:p w14:paraId="5DC28524" w14:textId="77777777" w:rsidR="00EF1D77" w:rsidRDefault="00EF1D77" w:rsidP="00EF1D77">
      <w:pPr>
        <w:rPr>
          <w:lang w:val="en-GB"/>
        </w:rPr>
      </w:pPr>
    </w:p>
    <w:p w14:paraId="0A7A8B6D" w14:textId="77777777" w:rsidR="00EF1D77" w:rsidRDefault="00EF1D77" w:rsidP="00EF1D77">
      <w:pPr>
        <w:rPr>
          <w:lang w:val="en-GB"/>
        </w:rPr>
      </w:pPr>
    </w:p>
    <w:p w14:paraId="1A4383CE" w14:textId="77777777" w:rsidR="00EF1D77" w:rsidRDefault="00EF1D77" w:rsidP="00EF1D77">
      <w:pPr>
        <w:sectPr w:rsidR="00EF1D77" w:rsidSect="00BC1F95">
          <w:headerReference w:type="default" r:id="rId12"/>
          <w:footerReference w:type="default" r:id="rId13"/>
          <w:pgSz w:w="12240" w:h="15840"/>
          <w:pgMar w:top="1440" w:right="1440" w:bottom="1440" w:left="1440" w:header="708" w:footer="708" w:gutter="0"/>
          <w:pgNumType w:fmt="lowerRoman" w:start="1"/>
          <w:cols w:space="708"/>
          <w:docGrid w:linePitch="360"/>
        </w:sectPr>
      </w:pPr>
    </w:p>
    <w:p w14:paraId="2B2439F3" w14:textId="77777777" w:rsidR="00EF1D77" w:rsidRDefault="00EF1D77" w:rsidP="00EF1D77">
      <w:pPr>
        <w:pStyle w:val="Heading1"/>
        <w:numPr>
          <w:ilvl w:val="0"/>
          <w:numId w:val="0"/>
        </w:numPr>
        <w:ind w:left="540" w:hanging="540"/>
      </w:pPr>
      <w:bookmarkStart w:id="1" w:name="_Toc426649337"/>
      <w:r>
        <w:lastRenderedPageBreak/>
        <w:t>Executive Summary</w:t>
      </w:r>
      <w:bookmarkEnd w:id="1"/>
    </w:p>
    <w:p w14:paraId="47B9D5CA" w14:textId="210AC277" w:rsidR="00546C4D" w:rsidRDefault="00EF1D77" w:rsidP="00EF1D77">
      <w:r w:rsidRPr="009B3926">
        <w:t>Planning Res</w:t>
      </w:r>
      <w:r>
        <w:t xml:space="preserve">erve Margin (PRM) is the dependable capacity above the expected peak demand and is measured in MW or percentage of the expected peak. PRM is required to ensure system resource adequacy. Utilities differ noticeably in their PRM practices, including how to define the dependability of their capacity resources, whether to rely on the external market or not, which reliability metric to target, and how to derive sufficient PRM to meet the resource adequacy requirements suitable for their </w:t>
      </w:r>
      <w:r w:rsidR="00587511">
        <w:t xml:space="preserve">operating </w:t>
      </w:r>
      <w:r>
        <w:t xml:space="preserve">environment.  </w:t>
      </w:r>
      <w:r w:rsidR="002A584B">
        <w:t xml:space="preserve">For example, neighboring utilities of FortisBC stated their PRM from 10% to 24%, but some of the numbers did not include Operating Reserves and at least one of the utilities did not </w:t>
      </w:r>
      <w:r w:rsidR="007B02FA">
        <w:t>include</w:t>
      </w:r>
      <w:r w:rsidR="002A584B">
        <w:t xml:space="preserve"> the market for PRM purposes. </w:t>
      </w:r>
      <w:r w:rsidR="007B02FA">
        <w:t>U</w:t>
      </w:r>
      <w:r w:rsidR="00546C4D">
        <w:t xml:space="preserve">tilities </w:t>
      </w:r>
      <w:r w:rsidR="007B02FA">
        <w:t>also differ widely in how PRM studies are conducted.  The most widely accepted approach is to examine</w:t>
      </w:r>
      <w:r w:rsidR="00546C4D">
        <w:t xml:space="preserve"> PRM from probabilistic studies using </w:t>
      </w:r>
      <w:r w:rsidR="007B02FA">
        <w:t xml:space="preserve">the </w:t>
      </w:r>
      <w:r w:rsidR="00546C4D">
        <w:t xml:space="preserve">LOLE (Loss-Of-Load-Expectation or the expected number of days in a year the generation capacity fails to meet load) </w:t>
      </w:r>
      <w:r w:rsidR="007B02FA">
        <w:t xml:space="preserve">metric.  However, other approaches are the </w:t>
      </w:r>
      <w:r w:rsidR="00546C4D">
        <w:t>LOLP (Loss-Of-Load-Probability or the probability to fail to meet load)</w:t>
      </w:r>
      <w:r w:rsidR="007B02FA">
        <w:t>,</w:t>
      </w:r>
      <w:r w:rsidR="00546C4D">
        <w:t xml:space="preserve"> </w:t>
      </w:r>
      <w:r w:rsidR="007B02FA">
        <w:t xml:space="preserve">the </w:t>
      </w:r>
      <w:r w:rsidR="00546C4D">
        <w:t>PRM target originally set for the whole region by a NERC entity</w:t>
      </w:r>
      <w:r w:rsidR="007B02FA">
        <w:t>,</w:t>
      </w:r>
      <w:r w:rsidR="00546C4D">
        <w:t xml:space="preserve"> or a simple deterministic rule. </w:t>
      </w:r>
    </w:p>
    <w:p w14:paraId="27CFD707" w14:textId="3AC393E1" w:rsidR="00EF1D77" w:rsidRDefault="00546C4D" w:rsidP="00EF1D77">
      <w:r>
        <w:t>Each utility should consider its own operating environment for PRM purposes since</w:t>
      </w:r>
      <w:r w:rsidR="0002442D">
        <w:t xml:space="preserve"> no two utilities are the same and</w:t>
      </w:r>
      <w:r>
        <w:t xml:space="preserve"> there is really no one-size-fits-all solution here. </w:t>
      </w:r>
      <w:r w:rsidR="0002442D">
        <w:t>For instance, FortisBC has four plants but its plants are operating under a special agreement in coordination with BC Hydro and other partners. The Company is expecting to have a new substantial capacity resource</w:t>
      </w:r>
      <w:r w:rsidR="001768E5">
        <w:t>, Waneta Expansion</w:t>
      </w:r>
      <w:r w:rsidR="0002442D">
        <w:t xml:space="preserve"> (WAX)</w:t>
      </w:r>
      <w:r w:rsidR="001768E5">
        <w:t>,</w:t>
      </w:r>
      <w:r w:rsidR="0002442D">
        <w:t xml:space="preserve"> coming online in early 2015 and this is a source of additional uncertainty to the operating environment of the Company. FortisBC cannot use any other utilities’ existing results on PRM given all of its operating </w:t>
      </w:r>
      <w:r w:rsidR="007B02FA">
        <w:t>characteristics</w:t>
      </w:r>
      <w:r w:rsidR="0002442D">
        <w:t>.</w:t>
      </w:r>
    </w:p>
    <w:p w14:paraId="52570FEB" w14:textId="56E10860" w:rsidR="00A30232" w:rsidRDefault="00EF1D77" w:rsidP="00EF1D77">
      <w:r>
        <w:t>FortisBC believes that no additional resources are needed to meet resource adequacy requirements at th</w:t>
      </w:r>
      <w:r w:rsidR="007B02FA">
        <w:t>e</w:t>
      </w:r>
      <w:r>
        <w:t xml:space="preserve"> time of writing </w:t>
      </w:r>
      <w:r w:rsidR="00A30232">
        <w:t xml:space="preserve">this PRM report </w:t>
      </w:r>
      <w:r>
        <w:t xml:space="preserve">(2014). </w:t>
      </w:r>
      <w:r w:rsidR="00A30232">
        <w:t xml:space="preserve">The Company will review this report periodically and will update it as an appendix in the 2016 Long Term </w:t>
      </w:r>
      <w:r w:rsidR="00D51278">
        <w:t xml:space="preserve">Electric </w:t>
      </w:r>
      <w:r w:rsidR="00A30232">
        <w:t>Resource Plan</w:t>
      </w:r>
      <w:r w:rsidR="00D51278">
        <w:t xml:space="preserve"> (LTERP)</w:t>
      </w:r>
      <w:r w:rsidR="00A30232">
        <w:t xml:space="preserve">.  </w:t>
      </w:r>
      <w:r w:rsidR="005B5DB7">
        <w:t xml:space="preserve">The resource options portfolio modeling done as part of the LTERP will incorporate </w:t>
      </w:r>
      <w:r w:rsidR="00CE6D06">
        <w:t xml:space="preserve">FortisBC’s approach to meeting resource adequacy requirements.  </w:t>
      </w:r>
      <w:r w:rsidR="00A30232">
        <w:t xml:space="preserve"> </w:t>
      </w:r>
    </w:p>
    <w:p w14:paraId="6B78E069" w14:textId="181F7910" w:rsidR="00EF1D77" w:rsidRDefault="00EF1D77" w:rsidP="00EF1D77">
      <w:r>
        <w:lastRenderedPageBreak/>
        <w:t>This report gives more detail on the findings of the Company’s Monte Carlo simulation PRM based approach. This approach is in accordance with the current best practices in the power industry and is expected to have lower rate impacts on customers. The Company adopted LOLE as the reliability metric in its PRM study, and targeted 1 day in 10 years or 0.1 day per year, used by most utilities, in its evaluation of resource adequacy. The resource stack to meet load consists of the Company’s own resources, its contracted capacity resources including 200MW from BC Hydro as per the recently approved New Power Purchase Agreement, and 150 MW of market access,</w:t>
      </w:r>
      <w:r w:rsidRPr="00CE2333">
        <w:t xml:space="preserve"> </w:t>
      </w:r>
      <w:r>
        <w:t xml:space="preserve">subject only to transmission outages.  </w:t>
      </w:r>
    </w:p>
    <w:p w14:paraId="09882AE1" w14:textId="77777777" w:rsidR="005B1B18" w:rsidRDefault="00EF1D77" w:rsidP="00EB6D75">
      <w:r>
        <w:t xml:space="preserve">Cases investigated in this study include the base case, which assumes the Company’s expected </w:t>
      </w:r>
      <w:r w:rsidR="00587511">
        <w:t xml:space="preserve">operating </w:t>
      </w:r>
      <w:r>
        <w:t xml:space="preserve">environment, and a number of sensitivity cases that deviate from the base case. In the base case, the system meets the LOLE target without adding any capacity other than the capacity to meet expected capacity gaps, and the average winter PRM </w:t>
      </w:r>
      <w:r w:rsidR="00F70D52">
        <w:t xml:space="preserve">including Operating Reserves </w:t>
      </w:r>
      <w:r>
        <w:t>is around 24%. Further sensitivity cases conducted were classified into three main groups related to the load, the resources, and the market. For the majority of sensitivity cases, the system is capable of meeting the LOLE target without needing additional capacity as summarized below:</w:t>
      </w:r>
    </w:p>
    <w:tbl>
      <w:tblPr>
        <w:tblStyle w:val="LightList-Accent11"/>
        <w:tblW w:w="9947" w:type="dxa"/>
        <w:tblInd w:w="108" w:type="dxa"/>
        <w:tblLook w:val="04A0" w:firstRow="1" w:lastRow="0" w:firstColumn="1" w:lastColumn="0" w:noHBand="0" w:noVBand="1"/>
      </w:tblPr>
      <w:tblGrid>
        <w:gridCol w:w="1418"/>
        <w:gridCol w:w="5410"/>
        <w:gridCol w:w="3119"/>
      </w:tblGrid>
      <w:tr w:rsidR="005B1B18" w:rsidRPr="00E24C3D" w14:paraId="359B4530" w14:textId="77777777" w:rsidTr="00A12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9B8597B" w14:textId="77777777" w:rsidR="005B1B18" w:rsidRPr="00E24C3D" w:rsidRDefault="005B1B18" w:rsidP="00A126E2">
            <w:pPr>
              <w:pStyle w:val="Table1"/>
              <w:jc w:val="left"/>
              <w:rPr>
                <w:lang w:val="en-US"/>
              </w:rPr>
            </w:pPr>
            <w:r w:rsidRPr="00E24C3D">
              <w:rPr>
                <w:lang w:val="en-US"/>
              </w:rPr>
              <w:t>Case</w:t>
            </w:r>
          </w:p>
        </w:tc>
        <w:tc>
          <w:tcPr>
            <w:tcW w:w="5410" w:type="dxa"/>
            <w:vAlign w:val="center"/>
          </w:tcPr>
          <w:p w14:paraId="004D6960" w14:textId="77777777" w:rsidR="005B1B18" w:rsidRPr="00E24C3D" w:rsidRDefault="005B1B18" w:rsidP="00A126E2">
            <w:pPr>
              <w:pStyle w:val="Table1"/>
              <w:jc w:val="left"/>
              <w:cnfStyle w:val="100000000000" w:firstRow="1" w:lastRow="0" w:firstColumn="0" w:lastColumn="0" w:oddVBand="0" w:evenVBand="0" w:oddHBand="0" w:evenHBand="0" w:firstRowFirstColumn="0" w:firstRowLastColumn="0" w:lastRowFirstColumn="0" w:lastRowLastColumn="0"/>
              <w:rPr>
                <w:lang w:val="en-US"/>
              </w:rPr>
            </w:pPr>
            <w:r w:rsidRPr="00E24C3D">
              <w:rPr>
                <w:lang w:val="en-US"/>
              </w:rPr>
              <w:t>Description</w:t>
            </w:r>
          </w:p>
        </w:tc>
        <w:tc>
          <w:tcPr>
            <w:tcW w:w="3119" w:type="dxa"/>
            <w:vAlign w:val="center"/>
          </w:tcPr>
          <w:p w14:paraId="34D0495D" w14:textId="77777777" w:rsidR="005B1B18" w:rsidRPr="00E24C3D" w:rsidRDefault="005B1B18" w:rsidP="00A126E2">
            <w:pPr>
              <w:pStyle w:val="Table1"/>
              <w:jc w:val="left"/>
              <w:cnfStyle w:val="100000000000" w:firstRow="1" w:lastRow="0" w:firstColumn="0" w:lastColumn="0" w:oddVBand="0" w:evenVBand="0" w:oddHBand="0" w:evenHBand="0" w:firstRowFirstColumn="0" w:firstRowLastColumn="0" w:lastRowFirstColumn="0" w:lastRowLastColumn="0"/>
              <w:rPr>
                <w:lang w:val="en-US"/>
              </w:rPr>
            </w:pPr>
            <w:r>
              <w:rPr>
                <w:lang w:val="en-US"/>
              </w:rPr>
              <w:t>Meet LOLE Target</w:t>
            </w:r>
            <w:r w:rsidRPr="00E24C3D">
              <w:rPr>
                <w:lang w:val="en-US"/>
              </w:rPr>
              <w:t>?</w:t>
            </w:r>
          </w:p>
        </w:tc>
      </w:tr>
      <w:tr w:rsidR="005B1B18" w:rsidRPr="0089011E" w14:paraId="1AC2B630" w14:textId="77777777" w:rsidTr="00A1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8" w:type="dxa"/>
            <w:gridSpan w:val="2"/>
          </w:tcPr>
          <w:p w14:paraId="20BA007B" w14:textId="77777777" w:rsidR="005B1B18" w:rsidRPr="00864899" w:rsidRDefault="005B1B18" w:rsidP="00A126E2">
            <w:pPr>
              <w:pStyle w:val="Table1"/>
              <w:jc w:val="left"/>
              <w:rPr>
                <w:lang w:val="en-US"/>
              </w:rPr>
            </w:pPr>
            <w:r w:rsidRPr="00864899">
              <w:rPr>
                <w:lang w:val="en-US"/>
              </w:rPr>
              <w:t xml:space="preserve">Case 0                 Base Case                                                                                                   </w:t>
            </w:r>
          </w:p>
        </w:tc>
        <w:tc>
          <w:tcPr>
            <w:tcW w:w="3119" w:type="dxa"/>
          </w:tcPr>
          <w:p w14:paraId="1AB13173" w14:textId="77777777" w:rsidR="005B1B18" w:rsidRPr="00864899" w:rsidRDefault="005B1B18" w:rsidP="00A126E2">
            <w:pPr>
              <w:pStyle w:val="Table1"/>
              <w:jc w:val="left"/>
              <w:cnfStyle w:val="000000100000" w:firstRow="0" w:lastRow="0" w:firstColumn="0" w:lastColumn="0" w:oddVBand="0" w:evenVBand="0" w:oddHBand="1" w:evenHBand="0" w:firstRowFirstColumn="0" w:firstRowLastColumn="0" w:lastRowFirstColumn="0" w:lastRowLastColumn="0"/>
              <w:rPr>
                <w:lang w:val="en-US"/>
              </w:rPr>
            </w:pPr>
            <w:r w:rsidRPr="00864899">
              <w:rPr>
                <w:lang w:val="en-US"/>
              </w:rPr>
              <w:t>Yes</w:t>
            </w:r>
          </w:p>
        </w:tc>
      </w:tr>
      <w:tr w:rsidR="005B1B18" w:rsidRPr="0089011E" w14:paraId="297B5073" w14:textId="77777777" w:rsidTr="00A126E2">
        <w:tc>
          <w:tcPr>
            <w:cnfStyle w:val="001000000000" w:firstRow="0" w:lastRow="0" w:firstColumn="1" w:lastColumn="0" w:oddVBand="0" w:evenVBand="0" w:oddHBand="0" w:evenHBand="0" w:firstRowFirstColumn="0" w:firstRowLastColumn="0" w:lastRowFirstColumn="0" w:lastRowLastColumn="0"/>
            <w:tcW w:w="6828" w:type="dxa"/>
            <w:gridSpan w:val="2"/>
          </w:tcPr>
          <w:p w14:paraId="3AD405C3" w14:textId="77777777" w:rsidR="005B1B18" w:rsidRPr="0089011E" w:rsidRDefault="005B1B18" w:rsidP="00A126E2">
            <w:pPr>
              <w:pStyle w:val="Table1"/>
              <w:jc w:val="left"/>
              <w:rPr>
                <w:lang w:val="en-US"/>
              </w:rPr>
            </w:pPr>
            <w:r w:rsidRPr="0089011E">
              <w:rPr>
                <w:lang w:val="en-US"/>
              </w:rPr>
              <w:t>Load Sensitivity Analysis</w:t>
            </w:r>
          </w:p>
        </w:tc>
        <w:tc>
          <w:tcPr>
            <w:tcW w:w="3119" w:type="dxa"/>
          </w:tcPr>
          <w:p w14:paraId="72EDD7C3" w14:textId="77777777" w:rsidR="005B1B18" w:rsidRPr="0089011E" w:rsidRDefault="005B1B18" w:rsidP="00A126E2">
            <w:pPr>
              <w:pStyle w:val="Table1"/>
              <w:jc w:val="left"/>
              <w:cnfStyle w:val="000000000000" w:firstRow="0" w:lastRow="0" w:firstColumn="0" w:lastColumn="0" w:oddVBand="0" w:evenVBand="0" w:oddHBand="0" w:evenHBand="0" w:firstRowFirstColumn="0" w:firstRowLastColumn="0" w:lastRowFirstColumn="0" w:lastRowLastColumn="0"/>
              <w:rPr>
                <w:lang w:val="en-US"/>
              </w:rPr>
            </w:pPr>
          </w:p>
        </w:tc>
      </w:tr>
      <w:tr w:rsidR="005B1B18" w:rsidRPr="0089011E" w14:paraId="70DE06E8" w14:textId="77777777" w:rsidTr="00A1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ACA01F2" w14:textId="77777777" w:rsidR="005B1B18" w:rsidRPr="0089011E" w:rsidRDefault="005B1B18" w:rsidP="00A126E2">
            <w:pPr>
              <w:pStyle w:val="Table1"/>
              <w:jc w:val="left"/>
              <w:rPr>
                <w:rFonts w:cs="Arial"/>
                <w:b w:val="0"/>
                <w:sz w:val="20"/>
                <w:szCs w:val="20"/>
                <w:lang w:val="en-US"/>
              </w:rPr>
            </w:pPr>
            <w:r>
              <w:t>Case 1</w:t>
            </w:r>
          </w:p>
        </w:tc>
        <w:tc>
          <w:tcPr>
            <w:tcW w:w="5410" w:type="dxa"/>
          </w:tcPr>
          <w:p w14:paraId="32B9ADA1" w14:textId="77777777" w:rsidR="005B1B18" w:rsidRPr="0089011E" w:rsidRDefault="005B1B18" w:rsidP="00A126E2">
            <w:pPr>
              <w:pStyle w:val="Table1"/>
              <w:jc w:val="left"/>
              <w:cnfStyle w:val="000000100000" w:firstRow="0" w:lastRow="0" w:firstColumn="0" w:lastColumn="0" w:oddVBand="0" w:evenVBand="0" w:oddHBand="1" w:evenHBand="0" w:firstRowFirstColumn="0" w:firstRowLastColumn="0" w:lastRowFirstColumn="0" w:lastRowLastColumn="0"/>
              <w:rPr>
                <w:lang w:val="en-US"/>
              </w:rPr>
            </w:pPr>
            <w:r w:rsidRPr="0089011E">
              <w:rPr>
                <w:lang w:val="en-US"/>
              </w:rPr>
              <w:t>1-in-10 economic drivers</w:t>
            </w:r>
          </w:p>
        </w:tc>
        <w:tc>
          <w:tcPr>
            <w:tcW w:w="3119" w:type="dxa"/>
          </w:tcPr>
          <w:p w14:paraId="1846D820" w14:textId="77777777" w:rsidR="005B1B18" w:rsidRPr="0089011E" w:rsidRDefault="005B1B18" w:rsidP="00A126E2">
            <w:pPr>
              <w:pStyle w:val="Table1"/>
              <w:jc w:val="left"/>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r>
      <w:tr w:rsidR="005B1B18" w:rsidRPr="0089011E" w14:paraId="590E6DAC" w14:textId="77777777" w:rsidTr="00A126E2">
        <w:tc>
          <w:tcPr>
            <w:cnfStyle w:val="001000000000" w:firstRow="0" w:lastRow="0" w:firstColumn="1" w:lastColumn="0" w:oddVBand="0" w:evenVBand="0" w:oddHBand="0" w:evenHBand="0" w:firstRowFirstColumn="0" w:firstRowLastColumn="0" w:lastRowFirstColumn="0" w:lastRowLastColumn="0"/>
            <w:tcW w:w="1418" w:type="dxa"/>
          </w:tcPr>
          <w:p w14:paraId="10BBF6D5" w14:textId="77777777" w:rsidR="005B1B18" w:rsidRPr="0089011E" w:rsidRDefault="005B1B18" w:rsidP="00A126E2">
            <w:pPr>
              <w:pStyle w:val="Table1"/>
              <w:jc w:val="left"/>
              <w:rPr>
                <w:rFonts w:cs="Arial"/>
                <w:b w:val="0"/>
                <w:sz w:val="20"/>
                <w:szCs w:val="20"/>
                <w:lang w:val="en-US"/>
              </w:rPr>
            </w:pPr>
            <w:r>
              <w:t>Case 2</w:t>
            </w:r>
          </w:p>
        </w:tc>
        <w:tc>
          <w:tcPr>
            <w:tcW w:w="5410" w:type="dxa"/>
          </w:tcPr>
          <w:p w14:paraId="15F9094C" w14:textId="77777777" w:rsidR="005B1B18" w:rsidRPr="0089011E" w:rsidRDefault="005B1B18" w:rsidP="00A126E2">
            <w:pPr>
              <w:pStyle w:val="Table1"/>
              <w:jc w:val="left"/>
              <w:cnfStyle w:val="000000000000" w:firstRow="0" w:lastRow="0" w:firstColumn="0" w:lastColumn="0" w:oddVBand="0" w:evenVBand="0" w:oddHBand="0" w:evenHBand="0" w:firstRowFirstColumn="0" w:firstRowLastColumn="0" w:lastRowFirstColumn="0" w:lastRowLastColumn="0"/>
              <w:rPr>
                <w:lang w:val="en-US"/>
              </w:rPr>
            </w:pPr>
            <w:r w:rsidRPr="0089011E">
              <w:rPr>
                <w:lang w:val="en-US"/>
              </w:rPr>
              <w:t>Industrial self-generating demand of 40MW</w:t>
            </w:r>
          </w:p>
        </w:tc>
        <w:tc>
          <w:tcPr>
            <w:tcW w:w="3119" w:type="dxa"/>
          </w:tcPr>
          <w:p w14:paraId="0DE659C4" w14:textId="77777777" w:rsidR="005B1B18" w:rsidRPr="0089011E" w:rsidRDefault="005B1B18" w:rsidP="00A126E2">
            <w:pPr>
              <w:pStyle w:val="Table1"/>
              <w:jc w:val="left"/>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r>
      <w:tr w:rsidR="005B1B18" w:rsidRPr="0089011E" w14:paraId="4FD14346" w14:textId="77777777" w:rsidTr="00A1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1992458A" w14:textId="77777777" w:rsidR="005B1B18" w:rsidRPr="0089011E" w:rsidRDefault="005B1B18" w:rsidP="00A126E2">
            <w:pPr>
              <w:pStyle w:val="Table1"/>
              <w:jc w:val="left"/>
              <w:rPr>
                <w:rFonts w:cs="Arial"/>
                <w:b w:val="0"/>
                <w:sz w:val="20"/>
                <w:szCs w:val="20"/>
                <w:lang w:val="en-US"/>
              </w:rPr>
            </w:pPr>
            <w:r>
              <w:t>Case 3</w:t>
            </w:r>
          </w:p>
        </w:tc>
        <w:tc>
          <w:tcPr>
            <w:tcW w:w="5410" w:type="dxa"/>
          </w:tcPr>
          <w:p w14:paraId="1B8281BF" w14:textId="77777777" w:rsidR="005B1B18" w:rsidRPr="0089011E" w:rsidRDefault="005B1B18" w:rsidP="00A126E2">
            <w:pPr>
              <w:pStyle w:val="Table1"/>
              <w:jc w:val="left"/>
              <w:cnfStyle w:val="000000100000" w:firstRow="0" w:lastRow="0" w:firstColumn="0" w:lastColumn="0" w:oddVBand="0" w:evenVBand="0" w:oddHBand="1" w:evenHBand="0" w:firstRowFirstColumn="0" w:firstRowLastColumn="0" w:lastRowFirstColumn="0" w:lastRowLastColumn="0"/>
              <w:rPr>
                <w:lang w:val="en-US"/>
              </w:rPr>
            </w:pPr>
            <w:r w:rsidRPr="0089011E">
              <w:rPr>
                <w:lang w:val="en-US"/>
              </w:rPr>
              <w:t>Time of seasonal peaks</w:t>
            </w:r>
          </w:p>
        </w:tc>
        <w:tc>
          <w:tcPr>
            <w:tcW w:w="3119" w:type="dxa"/>
          </w:tcPr>
          <w:p w14:paraId="78B84237" w14:textId="77777777" w:rsidR="005B1B18" w:rsidRPr="0089011E" w:rsidRDefault="005B1B18" w:rsidP="00A126E2">
            <w:pPr>
              <w:pStyle w:val="Table1"/>
              <w:jc w:val="left"/>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r>
      <w:tr w:rsidR="005B1B18" w:rsidRPr="0089011E" w14:paraId="3249D46B" w14:textId="77777777" w:rsidTr="00A126E2">
        <w:tc>
          <w:tcPr>
            <w:cnfStyle w:val="001000000000" w:firstRow="0" w:lastRow="0" w:firstColumn="1" w:lastColumn="0" w:oddVBand="0" w:evenVBand="0" w:oddHBand="0" w:evenHBand="0" w:firstRowFirstColumn="0" w:firstRowLastColumn="0" w:lastRowFirstColumn="0" w:lastRowLastColumn="0"/>
            <w:tcW w:w="6828" w:type="dxa"/>
            <w:gridSpan w:val="2"/>
          </w:tcPr>
          <w:p w14:paraId="2A0EA1AF" w14:textId="77777777" w:rsidR="005B1B18" w:rsidRPr="0089011E" w:rsidRDefault="005B1B18" w:rsidP="00A126E2">
            <w:pPr>
              <w:pStyle w:val="Table1"/>
              <w:jc w:val="left"/>
              <w:rPr>
                <w:lang w:val="en-US"/>
              </w:rPr>
            </w:pPr>
            <w:r w:rsidRPr="0089011E">
              <w:rPr>
                <w:lang w:val="en-US"/>
              </w:rPr>
              <w:t>Resource Sensitivity Analysis</w:t>
            </w:r>
          </w:p>
        </w:tc>
        <w:tc>
          <w:tcPr>
            <w:tcW w:w="3119" w:type="dxa"/>
          </w:tcPr>
          <w:p w14:paraId="0E5D7478" w14:textId="77777777" w:rsidR="005B1B18" w:rsidRPr="0089011E" w:rsidRDefault="005B1B18" w:rsidP="00A126E2">
            <w:pPr>
              <w:pStyle w:val="Table1"/>
              <w:jc w:val="left"/>
              <w:cnfStyle w:val="000000000000" w:firstRow="0" w:lastRow="0" w:firstColumn="0" w:lastColumn="0" w:oddVBand="0" w:evenVBand="0" w:oddHBand="0" w:evenHBand="0" w:firstRowFirstColumn="0" w:firstRowLastColumn="0" w:lastRowFirstColumn="0" w:lastRowLastColumn="0"/>
              <w:rPr>
                <w:lang w:val="en-US"/>
              </w:rPr>
            </w:pPr>
          </w:p>
        </w:tc>
      </w:tr>
      <w:tr w:rsidR="005B1B18" w:rsidRPr="0089011E" w14:paraId="75150308" w14:textId="77777777" w:rsidTr="00A1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566E8E2" w14:textId="77777777" w:rsidR="005B1B18" w:rsidRPr="0089011E" w:rsidRDefault="005B1B18" w:rsidP="00A126E2">
            <w:pPr>
              <w:pStyle w:val="Table1"/>
              <w:jc w:val="left"/>
              <w:rPr>
                <w:rFonts w:cs="Arial"/>
                <w:b w:val="0"/>
                <w:sz w:val="20"/>
                <w:szCs w:val="20"/>
                <w:lang w:val="en-US"/>
              </w:rPr>
            </w:pPr>
            <w:r>
              <w:t>Case 4</w:t>
            </w:r>
          </w:p>
        </w:tc>
        <w:tc>
          <w:tcPr>
            <w:tcW w:w="5410" w:type="dxa"/>
          </w:tcPr>
          <w:p w14:paraId="68010209" w14:textId="77777777" w:rsidR="005B1B18" w:rsidRPr="0089011E" w:rsidRDefault="005B1B18" w:rsidP="00A126E2">
            <w:pPr>
              <w:pStyle w:val="Table1"/>
              <w:jc w:val="left"/>
              <w:cnfStyle w:val="000000100000" w:firstRow="0" w:lastRow="0" w:firstColumn="0" w:lastColumn="0" w:oddVBand="0" w:evenVBand="0" w:oddHBand="1" w:evenHBand="0" w:firstRowFirstColumn="0" w:firstRowLastColumn="0" w:lastRowFirstColumn="0" w:lastRowLastColumn="0"/>
              <w:rPr>
                <w:lang w:val="en-US"/>
              </w:rPr>
            </w:pPr>
            <w:r w:rsidRPr="0089011E">
              <w:rPr>
                <w:lang w:val="en-US"/>
              </w:rPr>
              <w:t>WAX FORs</w:t>
            </w:r>
          </w:p>
        </w:tc>
        <w:tc>
          <w:tcPr>
            <w:tcW w:w="3119" w:type="dxa"/>
          </w:tcPr>
          <w:p w14:paraId="09B80E9B" w14:textId="77777777" w:rsidR="005B1B18" w:rsidRPr="0089011E" w:rsidRDefault="005B1B18" w:rsidP="00A126E2">
            <w:pPr>
              <w:pStyle w:val="Table1"/>
              <w:jc w:val="left"/>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r>
      <w:tr w:rsidR="005B1B18" w:rsidRPr="0089011E" w14:paraId="1E59DB1C" w14:textId="77777777" w:rsidTr="00A126E2">
        <w:tc>
          <w:tcPr>
            <w:cnfStyle w:val="001000000000" w:firstRow="0" w:lastRow="0" w:firstColumn="1" w:lastColumn="0" w:oddVBand="0" w:evenVBand="0" w:oddHBand="0" w:evenHBand="0" w:firstRowFirstColumn="0" w:firstRowLastColumn="0" w:lastRowFirstColumn="0" w:lastRowLastColumn="0"/>
            <w:tcW w:w="1418" w:type="dxa"/>
          </w:tcPr>
          <w:p w14:paraId="422248FC" w14:textId="77777777" w:rsidR="005B1B18" w:rsidRPr="0089011E" w:rsidRDefault="005B1B18" w:rsidP="00A126E2">
            <w:pPr>
              <w:pStyle w:val="Table1"/>
              <w:jc w:val="left"/>
              <w:rPr>
                <w:rFonts w:cs="Arial"/>
                <w:b w:val="0"/>
                <w:sz w:val="20"/>
                <w:szCs w:val="20"/>
                <w:lang w:val="en-US"/>
              </w:rPr>
            </w:pPr>
            <w:r>
              <w:t>Case 5</w:t>
            </w:r>
          </w:p>
        </w:tc>
        <w:tc>
          <w:tcPr>
            <w:tcW w:w="5410" w:type="dxa"/>
          </w:tcPr>
          <w:p w14:paraId="3856C7C9" w14:textId="77777777" w:rsidR="005B1B18" w:rsidRPr="0089011E" w:rsidRDefault="005B1B18" w:rsidP="00A126E2">
            <w:pPr>
              <w:pStyle w:val="Table1"/>
              <w:jc w:val="left"/>
              <w:cnfStyle w:val="000000000000" w:firstRow="0" w:lastRow="0" w:firstColumn="0" w:lastColumn="0" w:oddVBand="0" w:evenVBand="0" w:oddHBand="0" w:evenHBand="0" w:firstRowFirstColumn="0" w:firstRowLastColumn="0" w:lastRowFirstColumn="0" w:lastRowLastColumn="0"/>
              <w:rPr>
                <w:lang w:val="en-US"/>
              </w:rPr>
            </w:pPr>
            <w:r w:rsidRPr="0089011E">
              <w:rPr>
                <w:lang w:val="en-US"/>
              </w:rPr>
              <w:t xml:space="preserve">Double FORs </w:t>
            </w:r>
          </w:p>
        </w:tc>
        <w:tc>
          <w:tcPr>
            <w:tcW w:w="3119" w:type="dxa"/>
          </w:tcPr>
          <w:p w14:paraId="743B347F" w14:textId="77777777" w:rsidR="005B1B18" w:rsidRPr="0089011E" w:rsidRDefault="005B1B18" w:rsidP="00A126E2">
            <w:pPr>
              <w:pStyle w:val="Table1"/>
              <w:jc w:val="left"/>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r>
      <w:tr w:rsidR="005B1B18" w:rsidRPr="0089011E" w14:paraId="03001411" w14:textId="77777777" w:rsidTr="00A1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8377518" w14:textId="77777777" w:rsidR="005B1B18" w:rsidRPr="0089011E" w:rsidRDefault="005B1B18" w:rsidP="00A126E2">
            <w:pPr>
              <w:pStyle w:val="Table1"/>
              <w:jc w:val="left"/>
              <w:rPr>
                <w:rFonts w:cs="Arial"/>
                <w:b w:val="0"/>
                <w:sz w:val="20"/>
                <w:szCs w:val="20"/>
                <w:lang w:val="en-US"/>
              </w:rPr>
            </w:pPr>
            <w:r>
              <w:t>Case 6</w:t>
            </w:r>
          </w:p>
        </w:tc>
        <w:tc>
          <w:tcPr>
            <w:tcW w:w="5410" w:type="dxa"/>
          </w:tcPr>
          <w:p w14:paraId="02941534" w14:textId="77777777" w:rsidR="005B1B18" w:rsidRPr="0089011E" w:rsidRDefault="005B1B18" w:rsidP="00A126E2">
            <w:pPr>
              <w:pStyle w:val="Table1"/>
              <w:jc w:val="left"/>
              <w:cnfStyle w:val="000000100000" w:firstRow="0" w:lastRow="0" w:firstColumn="0" w:lastColumn="0" w:oddVBand="0" w:evenVBand="0" w:oddHBand="1" w:evenHBand="0" w:firstRowFirstColumn="0" w:firstRowLastColumn="0" w:lastRowFirstColumn="0" w:lastRowLastColumn="0"/>
              <w:rPr>
                <w:lang w:val="en-US"/>
              </w:rPr>
            </w:pPr>
            <w:r w:rsidRPr="0089011E">
              <w:rPr>
                <w:lang w:val="en-US"/>
              </w:rPr>
              <w:t>Firming up additional WAX surplus sales</w:t>
            </w:r>
          </w:p>
        </w:tc>
        <w:tc>
          <w:tcPr>
            <w:tcW w:w="3119" w:type="dxa"/>
          </w:tcPr>
          <w:p w14:paraId="05FE2C8F" w14:textId="77777777" w:rsidR="005B1B18" w:rsidRPr="0089011E" w:rsidRDefault="005B1B18" w:rsidP="00A126E2">
            <w:pPr>
              <w:pStyle w:val="Table1"/>
              <w:jc w:val="left"/>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r>
      <w:tr w:rsidR="005B1B18" w:rsidRPr="0089011E" w14:paraId="26677F11" w14:textId="77777777" w:rsidTr="00A126E2">
        <w:tc>
          <w:tcPr>
            <w:cnfStyle w:val="001000000000" w:firstRow="0" w:lastRow="0" w:firstColumn="1" w:lastColumn="0" w:oddVBand="0" w:evenVBand="0" w:oddHBand="0" w:evenHBand="0" w:firstRowFirstColumn="0" w:firstRowLastColumn="0" w:lastRowFirstColumn="0" w:lastRowLastColumn="0"/>
            <w:tcW w:w="1418" w:type="dxa"/>
          </w:tcPr>
          <w:p w14:paraId="350E776E" w14:textId="77777777" w:rsidR="005B1B18" w:rsidRPr="0089011E" w:rsidRDefault="005B1B18" w:rsidP="00A126E2">
            <w:pPr>
              <w:pStyle w:val="Table1"/>
              <w:jc w:val="left"/>
              <w:rPr>
                <w:rFonts w:cs="Arial"/>
                <w:sz w:val="20"/>
                <w:szCs w:val="20"/>
                <w:lang w:val="en-US"/>
              </w:rPr>
            </w:pPr>
            <w:r>
              <w:t>Case 7</w:t>
            </w:r>
          </w:p>
        </w:tc>
        <w:tc>
          <w:tcPr>
            <w:tcW w:w="5410" w:type="dxa"/>
          </w:tcPr>
          <w:p w14:paraId="07088871" w14:textId="77777777" w:rsidR="005B1B18" w:rsidRPr="0089011E" w:rsidRDefault="005B1B18" w:rsidP="00A126E2">
            <w:pPr>
              <w:pStyle w:val="Table1"/>
              <w:jc w:val="left"/>
              <w:cnfStyle w:val="000000000000" w:firstRow="0" w:lastRow="0" w:firstColumn="0" w:lastColumn="0" w:oddVBand="0" w:evenVBand="0" w:oddHBand="0" w:evenHBand="0" w:firstRowFirstColumn="0" w:firstRowLastColumn="0" w:lastRowFirstColumn="0" w:lastRowLastColumn="0"/>
              <w:rPr>
                <w:lang w:val="en-US"/>
              </w:rPr>
            </w:pPr>
            <w:r w:rsidRPr="0089011E">
              <w:rPr>
                <w:lang w:val="en-US"/>
              </w:rPr>
              <w:t>No additional capacity for gaps</w:t>
            </w:r>
          </w:p>
        </w:tc>
        <w:tc>
          <w:tcPr>
            <w:tcW w:w="3119" w:type="dxa"/>
          </w:tcPr>
          <w:p w14:paraId="6D671397" w14:textId="77777777" w:rsidR="005B1B18" w:rsidRPr="0089011E" w:rsidRDefault="005B1B18" w:rsidP="00A126E2">
            <w:pPr>
              <w:pStyle w:val="Table1"/>
              <w:jc w:val="left"/>
              <w:cnfStyle w:val="000000000000" w:firstRow="0" w:lastRow="0" w:firstColumn="0" w:lastColumn="0" w:oddVBand="0" w:evenVBand="0" w:oddHBand="0" w:evenHBand="0" w:firstRowFirstColumn="0" w:firstRowLastColumn="0" w:lastRowFirstColumn="0" w:lastRowLastColumn="0"/>
              <w:rPr>
                <w:lang w:val="en-US"/>
              </w:rPr>
            </w:pPr>
            <w:r>
              <w:rPr>
                <w:lang w:val="en-US"/>
              </w:rPr>
              <w:t>No (expected gaps must be met)</w:t>
            </w:r>
          </w:p>
        </w:tc>
      </w:tr>
      <w:tr w:rsidR="005B1B18" w:rsidRPr="0089011E" w14:paraId="335C6D9A" w14:textId="77777777" w:rsidTr="00A1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28" w:type="dxa"/>
            <w:gridSpan w:val="2"/>
          </w:tcPr>
          <w:p w14:paraId="6B8288B6" w14:textId="77777777" w:rsidR="005B1B18" w:rsidRPr="0089011E" w:rsidRDefault="005B1B18" w:rsidP="00A126E2">
            <w:pPr>
              <w:pStyle w:val="Table1"/>
              <w:jc w:val="left"/>
              <w:rPr>
                <w:lang w:val="en-US"/>
              </w:rPr>
            </w:pPr>
            <w:r w:rsidRPr="0089011E">
              <w:rPr>
                <w:lang w:val="en-US"/>
              </w:rPr>
              <w:t>Market Sensitivity Analysis</w:t>
            </w:r>
          </w:p>
        </w:tc>
        <w:tc>
          <w:tcPr>
            <w:tcW w:w="3119" w:type="dxa"/>
          </w:tcPr>
          <w:p w14:paraId="09C3B0A5" w14:textId="77777777" w:rsidR="005B1B18" w:rsidRPr="0089011E" w:rsidRDefault="005B1B18" w:rsidP="00A126E2">
            <w:pPr>
              <w:pStyle w:val="Table1"/>
              <w:jc w:val="left"/>
              <w:cnfStyle w:val="000000100000" w:firstRow="0" w:lastRow="0" w:firstColumn="0" w:lastColumn="0" w:oddVBand="0" w:evenVBand="0" w:oddHBand="1" w:evenHBand="0" w:firstRowFirstColumn="0" w:firstRowLastColumn="0" w:lastRowFirstColumn="0" w:lastRowLastColumn="0"/>
              <w:rPr>
                <w:lang w:val="en-US"/>
              </w:rPr>
            </w:pPr>
          </w:p>
        </w:tc>
      </w:tr>
      <w:tr w:rsidR="005B1B18" w:rsidRPr="0089011E" w14:paraId="3AEB37A1" w14:textId="77777777" w:rsidTr="00A126E2">
        <w:tc>
          <w:tcPr>
            <w:cnfStyle w:val="001000000000" w:firstRow="0" w:lastRow="0" w:firstColumn="1" w:lastColumn="0" w:oddVBand="0" w:evenVBand="0" w:oddHBand="0" w:evenHBand="0" w:firstRowFirstColumn="0" w:firstRowLastColumn="0" w:lastRowFirstColumn="0" w:lastRowLastColumn="0"/>
            <w:tcW w:w="1418" w:type="dxa"/>
          </w:tcPr>
          <w:p w14:paraId="7BE5879B" w14:textId="77777777" w:rsidR="005B1B18" w:rsidRPr="0089011E" w:rsidRDefault="005B1B18" w:rsidP="00A126E2">
            <w:pPr>
              <w:pStyle w:val="Table1"/>
              <w:jc w:val="left"/>
              <w:rPr>
                <w:rFonts w:cs="Arial"/>
                <w:b w:val="0"/>
                <w:sz w:val="20"/>
                <w:szCs w:val="20"/>
                <w:lang w:val="en-US"/>
              </w:rPr>
            </w:pPr>
            <w:r>
              <w:t>Case 8</w:t>
            </w:r>
          </w:p>
        </w:tc>
        <w:tc>
          <w:tcPr>
            <w:tcW w:w="5410" w:type="dxa"/>
          </w:tcPr>
          <w:p w14:paraId="2F903D45" w14:textId="77777777" w:rsidR="005B1B18" w:rsidRPr="0089011E" w:rsidRDefault="005B1B18" w:rsidP="00A126E2">
            <w:pPr>
              <w:pStyle w:val="Table1"/>
              <w:jc w:val="left"/>
              <w:cnfStyle w:val="000000000000" w:firstRow="0" w:lastRow="0" w:firstColumn="0" w:lastColumn="0" w:oddVBand="0" w:evenVBand="0" w:oddHBand="0" w:evenHBand="0" w:firstRowFirstColumn="0" w:firstRowLastColumn="0" w:lastRowFirstColumn="0" w:lastRowLastColumn="0"/>
              <w:rPr>
                <w:lang w:val="en-US"/>
              </w:rPr>
            </w:pPr>
            <w:r w:rsidRPr="0089011E">
              <w:rPr>
                <w:lang w:val="en-US"/>
              </w:rPr>
              <w:t>Market sizes at the base case FOR</w:t>
            </w:r>
          </w:p>
        </w:tc>
        <w:tc>
          <w:tcPr>
            <w:tcW w:w="3119" w:type="dxa"/>
          </w:tcPr>
          <w:p w14:paraId="4B8B5290" w14:textId="77777777" w:rsidR="005B1B18" w:rsidRPr="0089011E" w:rsidRDefault="005B1B18" w:rsidP="00A126E2">
            <w:pPr>
              <w:pStyle w:val="Table1"/>
              <w:jc w:val="left"/>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r>
      <w:tr w:rsidR="005B1B18" w:rsidRPr="0089011E" w14:paraId="6FF4B3B2" w14:textId="77777777" w:rsidTr="00A126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CC1E2BE" w14:textId="77777777" w:rsidR="005B1B18" w:rsidRPr="0089011E" w:rsidRDefault="005B1B18" w:rsidP="00A126E2">
            <w:pPr>
              <w:pStyle w:val="Table1"/>
              <w:jc w:val="left"/>
              <w:rPr>
                <w:rFonts w:cs="Arial"/>
                <w:b w:val="0"/>
                <w:sz w:val="20"/>
                <w:szCs w:val="20"/>
                <w:lang w:val="en-US"/>
              </w:rPr>
            </w:pPr>
            <w:r>
              <w:t>Case 9</w:t>
            </w:r>
          </w:p>
        </w:tc>
        <w:tc>
          <w:tcPr>
            <w:tcW w:w="5410" w:type="dxa"/>
          </w:tcPr>
          <w:p w14:paraId="65248942" w14:textId="77777777" w:rsidR="005B1B18" w:rsidRPr="0089011E" w:rsidRDefault="005B1B18" w:rsidP="00A126E2">
            <w:pPr>
              <w:pStyle w:val="Table1"/>
              <w:jc w:val="left"/>
              <w:cnfStyle w:val="000000100000" w:firstRow="0" w:lastRow="0" w:firstColumn="0" w:lastColumn="0" w:oddVBand="0" w:evenVBand="0" w:oddHBand="1" w:evenHBand="0" w:firstRowFirstColumn="0" w:firstRowLastColumn="0" w:lastRowFirstColumn="0" w:lastRowLastColumn="0"/>
              <w:rPr>
                <w:lang w:val="en-US"/>
              </w:rPr>
            </w:pPr>
            <w:r w:rsidRPr="0089011E">
              <w:rPr>
                <w:lang w:val="en-US"/>
              </w:rPr>
              <w:t>No market access</w:t>
            </w:r>
          </w:p>
        </w:tc>
        <w:tc>
          <w:tcPr>
            <w:tcW w:w="3119" w:type="dxa"/>
          </w:tcPr>
          <w:p w14:paraId="45B29B18" w14:textId="77777777" w:rsidR="005B1B18" w:rsidRPr="0089011E" w:rsidRDefault="005B1B18" w:rsidP="00A126E2">
            <w:pPr>
              <w:pStyle w:val="Table1"/>
              <w:jc w:val="left"/>
              <w:cnfStyle w:val="000000100000" w:firstRow="0" w:lastRow="0" w:firstColumn="0" w:lastColumn="0" w:oddVBand="0" w:evenVBand="0" w:oddHBand="1" w:evenHBand="0" w:firstRowFirstColumn="0" w:firstRowLastColumn="0" w:lastRowFirstColumn="0" w:lastRowLastColumn="0"/>
              <w:rPr>
                <w:lang w:val="en-US"/>
              </w:rPr>
            </w:pPr>
            <w:r>
              <w:rPr>
                <w:lang w:val="en-US"/>
              </w:rPr>
              <w:t>No (alternative capacity is needed)</w:t>
            </w:r>
          </w:p>
        </w:tc>
      </w:tr>
      <w:tr w:rsidR="005B1B18" w:rsidRPr="0089011E" w14:paraId="0671A413" w14:textId="77777777" w:rsidTr="00A126E2">
        <w:tc>
          <w:tcPr>
            <w:cnfStyle w:val="001000000000" w:firstRow="0" w:lastRow="0" w:firstColumn="1" w:lastColumn="0" w:oddVBand="0" w:evenVBand="0" w:oddHBand="0" w:evenHBand="0" w:firstRowFirstColumn="0" w:firstRowLastColumn="0" w:lastRowFirstColumn="0" w:lastRowLastColumn="0"/>
            <w:tcW w:w="1418" w:type="dxa"/>
          </w:tcPr>
          <w:p w14:paraId="199E948D" w14:textId="77777777" w:rsidR="005B1B18" w:rsidRPr="0089011E" w:rsidRDefault="005B1B18" w:rsidP="00A126E2">
            <w:pPr>
              <w:pStyle w:val="Table1"/>
              <w:jc w:val="left"/>
              <w:rPr>
                <w:rFonts w:cs="Arial"/>
                <w:b w:val="0"/>
                <w:sz w:val="20"/>
                <w:szCs w:val="20"/>
                <w:lang w:val="en-US"/>
              </w:rPr>
            </w:pPr>
            <w:r>
              <w:t>Case 10</w:t>
            </w:r>
          </w:p>
        </w:tc>
        <w:tc>
          <w:tcPr>
            <w:tcW w:w="5410" w:type="dxa"/>
          </w:tcPr>
          <w:p w14:paraId="73B59373" w14:textId="77777777" w:rsidR="005B1B18" w:rsidRPr="0089011E" w:rsidRDefault="005B1B18" w:rsidP="00A126E2">
            <w:pPr>
              <w:pStyle w:val="Table1"/>
              <w:jc w:val="left"/>
              <w:cnfStyle w:val="000000000000" w:firstRow="0" w:lastRow="0" w:firstColumn="0" w:lastColumn="0" w:oddVBand="0" w:evenVBand="0" w:oddHBand="0" w:evenHBand="0" w:firstRowFirstColumn="0" w:firstRowLastColumn="0" w:lastRowFirstColumn="0" w:lastRowLastColumn="0"/>
              <w:rPr>
                <w:lang w:val="en-US"/>
              </w:rPr>
            </w:pPr>
            <w:r w:rsidRPr="0089011E">
              <w:rPr>
                <w:lang w:val="en-US"/>
              </w:rPr>
              <w:t>Market FORs at 150MW</w:t>
            </w:r>
          </w:p>
        </w:tc>
        <w:tc>
          <w:tcPr>
            <w:tcW w:w="3119" w:type="dxa"/>
          </w:tcPr>
          <w:p w14:paraId="17E6A5C1" w14:textId="77777777" w:rsidR="005B1B18" w:rsidRPr="0089011E" w:rsidRDefault="005B1B18" w:rsidP="00A126E2">
            <w:pPr>
              <w:pStyle w:val="Table1"/>
              <w:jc w:val="left"/>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r>
    </w:tbl>
    <w:p w14:paraId="072356AF" w14:textId="77777777" w:rsidR="005B1B18" w:rsidRDefault="005B1B18" w:rsidP="00EB6D75"/>
    <w:p w14:paraId="0F70D8F2" w14:textId="45180E6C" w:rsidR="00EF1D77" w:rsidRDefault="00F70D52" w:rsidP="00EF1D77">
      <w:r>
        <w:lastRenderedPageBreak/>
        <w:t>I</w:t>
      </w:r>
      <w:r w:rsidR="00EF1D77">
        <w:t>n the</w:t>
      </w:r>
      <w:r>
        <w:t xml:space="preserve"> first group of</w:t>
      </w:r>
      <w:r w:rsidR="00EF1D77">
        <w:t xml:space="preserve"> load related sensitivity cases, when load increases can be anticipated (such as due to foreseeable higher rates of load growth) and additional capacity resources can be acquired to meet increased expected gaps in advance, the </w:t>
      </w:r>
      <w:r w:rsidR="00A75676">
        <w:t xml:space="preserve">system </w:t>
      </w:r>
      <w:r w:rsidR="00EF1D77">
        <w:t>is capable of</w:t>
      </w:r>
      <w:r w:rsidR="00A75676">
        <w:t xml:space="preserve"> meeting the LOLE target of 1 day in 10 years.</w:t>
      </w:r>
      <w:r w:rsidR="00EF1D77">
        <w:t xml:space="preserve"> Even when seasonal peaks cannot be anticipated in a timely manner due to weather, the system can still ensure the LOLE target.  Second</w:t>
      </w:r>
      <w:r>
        <w:t xml:space="preserve"> group of</w:t>
      </w:r>
      <w:r w:rsidR="00EF1D77">
        <w:t xml:space="preserve"> sensitivity cases on resources investigated higher than expected forced outage rates (FOR) of the Company’s own generators and its WAX resource, and also the unavailability of capacity surplus from WAX. </w:t>
      </w:r>
      <w:r w:rsidR="00A75676">
        <w:t>C</w:t>
      </w:r>
      <w:r w:rsidR="00EF1D77">
        <w:t xml:space="preserve">ases </w:t>
      </w:r>
      <w:r w:rsidR="00A75676">
        <w:t xml:space="preserve">in this sensitivity group </w:t>
      </w:r>
      <w:r w:rsidR="00EF1D77">
        <w:t>passed without requiring additional PRM capacity to meet the LOLE target. Finally, the market related sensitivity cases</w:t>
      </w:r>
      <w:r w:rsidR="00A75676">
        <w:t xml:space="preserve"> evaluated</w:t>
      </w:r>
      <w:r w:rsidR="00EF1D77">
        <w:t xml:space="preserve"> the size and availability of the market. </w:t>
      </w:r>
      <w:r w:rsidR="00A75676">
        <w:t xml:space="preserve">At the transmission FOR of 0.74% as in the base case, approximately 75MW of market access is sufficient to reach the LOLE target, resulting in an average winter PRM of around 15%. </w:t>
      </w:r>
      <w:r w:rsidR="00EF1D77">
        <w:t>Having a less reliable market will reduce market availability, and resource inadequacy will be observed when the unavailability of 150 MW market import exceeds 5%. If the Company has no access to the market, alternative capacity of up to 150 MW (at FOR 5%) will be required, resulting in an average winter PRM of around 23%. In any case, it is important to prepare dedicated resources rather than depending on market imports to meet expected capacity gaps.</w:t>
      </w:r>
    </w:p>
    <w:p w14:paraId="25B382AE" w14:textId="7BDFE7F6" w:rsidR="00EF1D77" w:rsidRDefault="00A30232" w:rsidP="00EF1D77">
      <w:r>
        <w:t>I</w:t>
      </w:r>
      <w:r w:rsidR="00EF1D77">
        <w:t xml:space="preserve">n the sections that follow, </w:t>
      </w:r>
      <w:r w:rsidR="00EF1D77">
        <w:rPr>
          <w:lang w:val="en-US"/>
        </w:rPr>
        <w:t xml:space="preserve">section 1 reviews key concepts related to PRM including Operating Reserves, Planning Margins and resource adequacy metrics, </w:t>
      </w:r>
      <w:r w:rsidR="00587511">
        <w:rPr>
          <w:lang w:val="en-US"/>
        </w:rPr>
        <w:t xml:space="preserve">then </w:t>
      </w:r>
      <w:r w:rsidR="00EF1D77">
        <w:rPr>
          <w:lang w:val="en-US"/>
        </w:rPr>
        <w:t xml:space="preserve">examines industry practices and explains </w:t>
      </w:r>
      <w:r w:rsidR="00EB6D75">
        <w:rPr>
          <w:lang w:val="en-US"/>
        </w:rPr>
        <w:t xml:space="preserve">the </w:t>
      </w:r>
      <w:r w:rsidR="00EF1D77">
        <w:rPr>
          <w:lang w:val="en-US"/>
        </w:rPr>
        <w:t>pros and cons of different methods to determine PRM for resource adequacy requirements. Section 2 gives an overview of the Company’s operating environment. Section 3 describes modeling techniques used to study PRM and presents results for the base case and further sensitivity scenarios. Finally, the conclusion is given in Section 4.</w:t>
      </w:r>
    </w:p>
    <w:p w14:paraId="72A90ACD" w14:textId="77777777" w:rsidR="00EF1D77" w:rsidRDefault="00EF1D77" w:rsidP="00EF1D77">
      <w:pPr>
        <w:sectPr w:rsidR="00EF1D77" w:rsidSect="00184405">
          <w:footerReference w:type="default" r:id="rId14"/>
          <w:pgSz w:w="12240" w:h="15840"/>
          <w:pgMar w:top="1440" w:right="758" w:bottom="1440" w:left="1440" w:header="708" w:footer="708" w:gutter="0"/>
          <w:lnNumType w:countBy="1"/>
          <w:pgNumType w:start="1"/>
          <w:cols w:space="708"/>
          <w:docGrid w:linePitch="360"/>
        </w:sectPr>
      </w:pPr>
    </w:p>
    <w:p w14:paraId="5A104026" w14:textId="77777777" w:rsidR="00EF1D77" w:rsidRDefault="00EF1D77" w:rsidP="00EF1D77">
      <w:pPr>
        <w:pStyle w:val="Heading1"/>
      </w:pPr>
      <w:bookmarkStart w:id="2" w:name="_Toc426649338"/>
      <w:r>
        <w:lastRenderedPageBreak/>
        <w:t>Overview of Planning Reserve Margin</w:t>
      </w:r>
      <w:bookmarkEnd w:id="2"/>
    </w:p>
    <w:p w14:paraId="3C79DE60" w14:textId="77777777" w:rsidR="00EF1D77" w:rsidRDefault="00EF1D77" w:rsidP="00EF1D77">
      <w:pPr>
        <w:pStyle w:val="Heading2"/>
      </w:pPr>
      <w:bookmarkStart w:id="3" w:name="_Ref388857843"/>
      <w:bookmarkStart w:id="4" w:name="_Toc426649339"/>
      <w:r>
        <w:t>Planning Reserve Margin Terminologies</w:t>
      </w:r>
      <w:bookmarkEnd w:id="3"/>
      <w:bookmarkEnd w:id="4"/>
    </w:p>
    <w:p w14:paraId="2A54EA49" w14:textId="77777777" w:rsidR="00EF1D77" w:rsidRDefault="00EF1D77" w:rsidP="00EF1D77">
      <w:pPr>
        <w:rPr>
          <w:lang w:val="en-US"/>
        </w:rPr>
      </w:pPr>
      <w:r>
        <w:rPr>
          <w:lang w:val="en-US"/>
        </w:rPr>
        <w:t>Planning Reserve Margin (</w:t>
      </w:r>
      <w:r w:rsidRPr="00DC537D">
        <w:rPr>
          <w:b/>
          <w:lang w:val="en-US"/>
        </w:rPr>
        <w:t>PRM</w:t>
      </w:r>
      <w:r>
        <w:rPr>
          <w:lang w:val="en-US"/>
        </w:rPr>
        <w:t>) is conceptually the capacity above expected load necessary to maintain a certain resource adequacy level. PRM is calculated as the difference between system dependable generation capacity and peak demand, measured in either MW or percentage of peak demand:</w:t>
      </w:r>
    </w:p>
    <w:p w14:paraId="16ACAB18" w14:textId="2879020F" w:rsidR="00EF1D77" w:rsidRDefault="00EF1D77" w:rsidP="00EF1D77">
      <w:pPr>
        <w:jc w:val="center"/>
        <w:rPr>
          <w:lang w:val="en-US"/>
        </w:rPr>
      </w:pPr>
      <w:r>
        <w:rPr>
          <w:lang w:val="en-US"/>
        </w:rPr>
        <w:t>PRM = ((Capacity – Peak Demand)/Peak Demand) *100%</w:t>
      </w:r>
    </w:p>
    <w:p w14:paraId="792C7083" w14:textId="3052C1A6" w:rsidR="00EF1D77" w:rsidRDefault="00EF1D77" w:rsidP="00EF1D77">
      <w:pPr>
        <w:rPr>
          <w:lang w:val="en-US"/>
        </w:rPr>
      </w:pPr>
      <w:r>
        <w:rPr>
          <w:lang w:val="en-US"/>
        </w:rPr>
        <w:t xml:space="preserve">where the peak demand is the expected </w:t>
      </w:r>
      <w:r w:rsidR="000F1020">
        <w:rPr>
          <w:lang w:val="en-US"/>
        </w:rPr>
        <w:t xml:space="preserve">load while the generation capacity is dependable capacity. The FBC expected load is </w:t>
      </w:r>
      <w:r>
        <w:rPr>
          <w:lang w:val="en-US"/>
        </w:rPr>
        <w:t>net of DSM and other savings</w:t>
      </w:r>
      <w:r w:rsidR="000F1020">
        <w:rPr>
          <w:lang w:val="en-US"/>
        </w:rPr>
        <w:t>.</w:t>
      </w:r>
      <w:r>
        <w:rPr>
          <w:lang w:val="en-US"/>
        </w:rPr>
        <w:t xml:space="preserve"> </w:t>
      </w:r>
      <w:r w:rsidR="006768A1">
        <w:rPr>
          <w:lang w:val="en-US"/>
        </w:rPr>
        <w:t>As described by</w:t>
      </w:r>
      <w:r>
        <w:rPr>
          <w:lang w:val="en-US"/>
        </w:rPr>
        <w:t xml:space="preserve"> NERC, PRM “</w:t>
      </w:r>
      <w:r w:rsidRPr="00DD0FD3">
        <w:rPr>
          <w:i/>
          <w:lang w:val="en-US"/>
        </w:rPr>
        <w:t>is designed to measure the amount of generation capacity available to meet expected demand in</w:t>
      </w:r>
      <w:r>
        <w:rPr>
          <w:i/>
          <w:lang w:val="en-US"/>
        </w:rPr>
        <w:t xml:space="preserve"> </w:t>
      </w:r>
      <w:r w:rsidRPr="00DD0FD3">
        <w:rPr>
          <w:i/>
          <w:lang w:val="en-US"/>
        </w:rPr>
        <w:t>planning horizon</w:t>
      </w:r>
      <w:r>
        <w:rPr>
          <w:lang w:val="en-US"/>
        </w:rPr>
        <w:t>”</w:t>
      </w:r>
      <w:bookmarkStart w:id="5" w:name="_Ref388596882"/>
      <w:r>
        <w:rPr>
          <w:rStyle w:val="FootnoteReference"/>
          <w:lang w:val="en-US"/>
        </w:rPr>
        <w:footnoteReference w:id="2"/>
      </w:r>
      <w:bookmarkEnd w:id="5"/>
      <w:r>
        <w:rPr>
          <w:lang w:val="en-US"/>
        </w:rPr>
        <w:t xml:space="preserve">. PRM’s role is to ensure resource adequacy when dealing with unforeseen increases in demand and forced outages in the system. It serves the utilities’ ultimate goal of “keeping the lights on” over the planning horizon. Negative PRM indicates that the system capacity is not sufficient to meet the expected demand. PRM which is positive but falling below some targeted margin signals that additional capacity is needed to meet a resource adequacy target. Note that two other terms, Planning Reserve and Reserve Margin, are still being used quite interchangeably for the term PRM in the power utility industry. </w:t>
      </w:r>
    </w:p>
    <w:p w14:paraId="38E545A8" w14:textId="143E081C" w:rsidR="00EF1D77" w:rsidRDefault="00EF1D77" w:rsidP="00EF1D77">
      <w:pPr>
        <w:rPr>
          <w:lang w:val="en-US"/>
        </w:rPr>
      </w:pPr>
      <w:r>
        <w:rPr>
          <w:lang w:val="en-US"/>
        </w:rPr>
        <w:t>The PRM concept is broader than Operating Reserves (</w:t>
      </w:r>
      <w:r w:rsidRPr="00DC537D">
        <w:rPr>
          <w:b/>
          <w:lang w:val="en-US"/>
        </w:rPr>
        <w:t>OR</w:t>
      </w:r>
      <w:r>
        <w:rPr>
          <w:lang w:val="en-US"/>
        </w:rPr>
        <w:t>)</w:t>
      </w:r>
      <w:r w:rsidR="006768A1">
        <w:rPr>
          <w:lang w:val="en-US"/>
        </w:rPr>
        <w:t xml:space="preserve"> although it includes OR</w:t>
      </w:r>
      <w:r>
        <w:rPr>
          <w:lang w:val="en-US"/>
        </w:rPr>
        <w:t>. OR is defined by NERC as “</w:t>
      </w:r>
      <w:r w:rsidRPr="009B06F2">
        <w:rPr>
          <w:i/>
          <w:lang w:val="en-US"/>
        </w:rPr>
        <w:t>capability above firm system demand required to provide for regulation, load forecasting error, equipment forced and scheduled outages, and local area protection. It consists of spinning and non-spinning reserve</w:t>
      </w:r>
      <w:r>
        <w:rPr>
          <w:i/>
          <w:lang w:val="en-US"/>
        </w:rPr>
        <w:t>s</w:t>
      </w:r>
      <w:r>
        <w:rPr>
          <w:lang w:val="en-US"/>
        </w:rPr>
        <w:t>.”</w:t>
      </w:r>
      <w:r>
        <w:rPr>
          <w:rStyle w:val="FootnoteReference"/>
          <w:lang w:val="en-US"/>
        </w:rPr>
        <w:footnoteReference w:id="3"/>
      </w:r>
      <w:r>
        <w:rPr>
          <w:lang w:val="en-US"/>
        </w:rPr>
        <w:t xml:space="preserve"> These spinning and non-spinning reserves</w:t>
      </w:r>
      <w:r>
        <w:rPr>
          <w:rStyle w:val="FootnoteReference"/>
          <w:lang w:val="en-US"/>
        </w:rPr>
        <w:footnoteReference w:id="4"/>
      </w:r>
      <w:r>
        <w:rPr>
          <w:lang w:val="en-US"/>
        </w:rPr>
        <w:t xml:space="preserve"> are used to form two major functional OR components namely:</w:t>
      </w:r>
    </w:p>
    <w:p w14:paraId="4EADFF71" w14:textId="77777777" w:rsidR="00EF1D77" w:rsidRPr="00064571" w:rsidRDefault="00EF1D77" w:rsidP="00EF1D77">
      <w:pPr>
        <w:pStyle w:val="ListBullet1"/>
      </w:pPr>
      <w:r w:rsidRPr="00064571">
        <w:rPr>
          <w:lang w:val="en-US"/>
        </w:rPr>
        <w:lastRenderedPageBreak/>
        <w:t xml:space="preserve">Contingency Reserve: </w:t>
      </w:r>
      <w:r w:rsidRPr="00064571">
        <w:t xml:space="preserve">The provision of capacity deployed by the Balancing Authority to meet the Disturbance Control Standard and other NERC and Regional Reliability Organization contingency requirements.  </w:t>
      </w:r>
      <w:r>
        <w:t>It is for control under disturbance conditions and at least half of it must be spinning.  It is available for only 60 minutes from the time of any contingency event; and</w:t>
      </w:r>
    </w:p>
    <w:p w14:paraId="042D81D9" w14:textId="77777777" w:rsidR="00EF1D77" w:rsidRPr="00064571" w:rsidRDefault="00EF1D77" w:rsidP="00EF1D77">
      <w:pPr>
        <w:pStyle w:val="ListBullet1"/>
      </w:pPr>
      <w:r w:rsidRPr="00064571">
        <w:rPr>
          <w:lang w:val="en-US"/>
        </w:rPr>
        <w:t xml:space="preserve">Regulating </w:t>
      </w:r>
      <w:r>
        <w:rPr>
          <w:lang w:val="en-US"/>
        </w:rPr>
        <w:t xml:space="preserve">Reserve: </w:t>
      </w:r>
      <w:r w:rsidRPr="00064571">
        <w:rPr>
          <w:lang w:val="en-US"/>
        </w:rPr>
        <w:t xml:space="preserve"> </w:t>
      </w:r>
      <w:r w:rsidRPr="00064571">
        <w:t xml:space="preserve">An amount of reserve responsive to Automatic Generation Control, which is sufficient to provide normal regulating margin. </w:t>
      </w:r>
      <w:r>
        <w:t>It is for control under normal conditions and consists of spinning reserve only</w:t>
      </w:r>
    </w:p>
    <w:p w14:paraId="4FD8C8DA" w14:textId="340C15F9" w:rsidR="00EF1D77" w:rsidRDefault="00EF1D77" w:rsidP="00EF1D77">
      <w:pPr>
        <w:rPr>
          <w:lang w:val="en-US"/>
        </w:rPr>
      </w:pPr>
      <w:r>
        <w:rPr>
          <w:lang w:val="en-US"/>
        </w:rPr>
        <w:t>Utilities must hold capacity for OR to meet NERC (BAL-002</w:t>
      </w:r>
      <w:r>
        <w:rPr>
          <w:rStyle w:val="FootnoteReference"/>
          <w:lang w:val="en-US"/>
        </w:rPr>
        <w:footnoteReference w:id="5"/>
      </w:r>
      <w:r>
        <w:rPr>
          <w:lang w:val="en-US"/>
        </w:rPr>
        <w:t>) and further sub-regional reliability standards (WECC’s BAL-STD-002-0</w:t>
      </w:r>
      <w:r>
        <w:rPr>
          <w:rStyle w:val="FootnoteReference"/>
          <w:lang w:val="en-US"/>
        </w:rPr>
        <w:footnoteReference w:id="6"/>
      </w:r>
      <w:r>
        <w:rPr>
          <w:lang w:val="en-US"/>
        </w:rPr>
        <w:t xml:space="preserve"> for FBC). Contingency reserve is not available to be used to meet end-use demand unless there is an </w:t>
      </w:r>
      <w:r w:rsidR="003F0A1F">
        <w:rPr>
          <w:lang w:val="en-US"/>
        </w:rPr>
        <w:t xml:space="preserve">unplanned </w:t>
      </w:r>
      <w:r>
        <w:rPr>
          <w:lang w:val="en-US"/>
        </w:rPr>
        <w:t>outage event.</w:t>
      </w:r>
    </w:p>
    <w:p w14:paraId="4A9E4277" w14:textId="64C7DABB" w:rsidR="00EF1D77" w:rsidRDefault="00EF1D77" w:rsidP="00EF1D77">
      <w:pPr>
        <w:rPr>
          <w:lang w:val="en-US"/>
        </w:rPr>
      </w:pPr>
      <w:r>
        <w:rPr>
          <w:lang w:val="en-US"/>
        </w:rPr>
        <w:t>It is necessary to hold OR to ensure real-time reliable operation of the system. However, the OR requirement is also counted as part of the overall PRM requirement even though it does not directly contribute to PRM’s role of ensuring resource adequacy when dealing with unforeseen increases in demand and forced outages in the system.  OR ensures hourly operational reliability while PRM must include a sufficient time period to ensure changes to the resource portfolio can be addressed as needed to ensure system resource adequacy.  In other words, PRM includes the resource capacity reserved for OR to address uncertainties caused by hourly load and generation variations as well as any additional capacity needed on a longer term basis. This point is clearly indicated in WECC’s building block guideline to determine PRM</w:t>
      </w:r>
      <w:r>
        <w:rPr>
          <w:rStyle w:val="FootnoteReference"/>
          <w:lang w:val="en-US"/>
        </w:rPr>
        <w:footnoteReference w:id="7"/>
      </w:r>
      <w:r>
        <w:rPr>
          <w:lang w:val="en-US"/>
        </w:rPr>
        <w:t>. In this guideline, PRM consists of the two obligatory blocks identified above: (1) contingency reserve and (2) regulating reserve, and two optional blocks: (3) reserve for 1-in-10 weather events and (4) reserve for other forced outages</w:t>
      </w:r>
      <w:r w:rsidR="003F0A1F">
        <w:rPr>
          <w:lang w:val="en-US"/>
        </w:rPr>
        <w:t xml:space="preserve"> that are outside the 60 </w:t>
      </w:r>
      <w:r w:rsidR="003F0A1F">
        <w:rPr>
          <w:lang w:val="en-US"/>
        </w:rPr>
        <w:lastRenderedPageBreak/>
        <w:t>minute limit for contingency reserve</w:t>
      </w:r>
      <w:r>
        <w:rPr>
          <w:lang w:val="en-US"/>
        </w:rPr>
        <w:t xml:space="preserve">. The first two blocks make up the OR requirement in most utilities’ practices. </w:t>
      </w:r>
    </w:p>
    <w:p w14:paraId="34689EF5" w14:textId="7D7F68A3" w:rsidR="00EF1D77" w:rsidRDefault="00EF1D77" w:rsidP="00EF1D77">
      <w:pPr>
        <w:rPr>
          <w:lang w:val="en-US"/>
        </w:rPr>
      </w:pPr>
      <w:r>
        <w:rPr>
          <w:lang w:val="en-US"/>
        </w:rPr>
        <w:t xml:space="preserve">Caution should be exercised when comparing PRM values stated by different utilities as they may differ in a number of dimensions, and are specific to the type of resources held by each utility and the nature of their loads. Utilities may also use non-firm capacity, and include or exclude market access as a source of capacity. Also, they may use different PRM calculation methods with markedly different results. Finally, although published PRM values frequently include OR, they may also exclude OR if a utility wants to make a clear differentiation between capacity requirements for OR and longer term planning margin. This is a practice proposed by </w:t>
      </w:r>
      <w:r w:rsidRPr="00632332">
        <w:rPr>
          <w:lang w:val="en-US"/>
        </w:rPr>
        <w:t>Pacific Northwest Utilities Conference Committee</w:t>
      </w:r>
      <w:r>
        <w:rPr>
          <w:lang w:val="en-US"/>
        </w:rPr>
        <w:t xml:space="preserve"> (</w:t>
      </w:r>
      <w:r w:rsidRPr="00DC537D">
        <w:rPr>
          <w:b/>
          <w:lang w:val="en-US"/>
        </w:rPr>
        <w:t>PNUCC</w:t>
      </w:r>
      <w:r>
        <w:rPr>
          <w:lang w:val="en-US"/>
        </w:rPr>
        <w:t>) and which has been adopted by a number of Pacific Northwest utilities. PNUCC separated PRM into OR and “Planning Margin” (</w:t>
      </w:r>
      <w:r w:rsidRPr="00DC537D">
        <w:rPr>
          <w:b/>
          <w:lang w:val="en-US"/>
        </w:rPr>
        <w:t>PM</w:t>
      </w:r>
      <w:r>
        <w:rPr>
          <w:lang w:val="en-US"/>
        </w:rPr>
        <w:t>), which does not have the “reserved” capacity. Resources for PM might be used to meet end-use demand</w:t>
      </w:r>
      <w:r>
        <w:rPr>
          <w:rStyle w:val="FootnoteReference"/>
          <w:lang w:val="en-US"/>
        </w:rPr>
        <w:footnoteReference w:id="8"/>
      </w:r>
      <w:r>
        <w:rPr>
          <w:lang w:val="en-US"/>
        </w:rPr>
        <w:t xml:space="preserve">. PNUCC recommends utilities to report both values of PM and PM with OR in their resource adequacy assessments. Table 1-1 below illustrates differences in PRM as reported by some of FBC’s </w:t>
      </w:r>
      <w:r w:rsidR="005127A8">
        <w:rPr>
          <w:lang w:val="en-US"/>
        </w:rPr>
        <w:t>neighboring</w:t>
      </w:r>
      <w:r>
        <w:rPr>
          <w:lang w:val="en-US"/>
        </w:rPr>
        <w:t xml:space="preserve"> utilities.</w:t>
      </w:r>
    </w:p>
    <w:p w14:paraId="2CA6DAAC" w14:textId="77777777" w:rsidR="00EF1D77" w:rsidRDefault="00EF1D77" w:rsidP="00EF1D77">
      <w:pPr>
        <w:pStyle w:val="TableHeading"/>
      </w:pPr>
      <w:bookmarkStart w:id="6" w:name="_Toc421190627"/>
      <w:r>
        <w:t>Table 1-1:  PRM Stated by Neighbouring Utilities</w:t>
      </w:r>
      <w:bookmarkEnd w:id="6"/>
    </w:p>
    <w:tbl>
      <w:tblPr>
        <w:tblStyle w:val="LightList-Accent11"/>
        <w:tblW w:w="10654" w:type="dxa"/>
        <w:tblLayout w:type="fixed"/>
        <w:tblLook w:val="04A0" w:firstRow="1" w:lastRow="0" w:firstColumn="1" w:lastColumn="0" w:noHBand="0" w:noVBand="1"/>
      </w:tblPr>
      <w:tblGrid>
        <w:gridCol w:w="1188"/>
        <w:gridCol w:w="1347"/>
        <w:gridCol w:w="1348"/>
        <w:gridCol w:w="1187"/>
        <w:gridCol w:w="1541"/>
        <w:gridCol w:w="1347"/>
        <w:gridCol w:w="1348"/>
        <w:gridCol w:w="1348"/>
      </w:tblGrid>
      <w:tr w:rsidR="00EF1D77" w:rsidRPr="005A70EC" w14:paraId="48A8C964" w14:textId="77777777" w:rsidTr="000C65A4">
        <w:trPr>
          <w:cnfStyle w:val="100000000000" w:firstRow="1" w:lastRow="0" w:firstColumn="0" w:lastColumn="0" w:oddVBand="0" w:evenVBand="0" w:oddHBand="0" w:evenHBand="0" w:firstRowFirstColumn="0" w:firstRowLastColumn="0" w:lastRowFirstColumn="0" w:lastRowLastColumn="0"/>
          <w:trHeight w:val="891"/>
        </w:trPr>
        <w:tc>
          <w:tcPr>
            <w:cnfStyle w:val="001000000000" w:firstRow="0" w:lastRow="0" w:firstColumn="1" w:lastColumn="0" w:oddVBand="0" w:evenVBand="0" w:oddHBand="0" w:evenHBand="0" w:firstRowFirstColumn="0" w:firstRowLastColumn="0" w:lastRowFirstColumn="0" w:lastRowLastColumn="0"/>
            <w:tcW w:w="1188" w:type="dxa"/>
            <w:vAlign w:val="center"/>
          </w:tcPr>
          <w:p w14:paraId="181FBEC5" w14:textId="77777777" w:rsidR="00EF1D77" w:rsidRDefault="00EF1D77" w:rsidP="00656AF0">
            <w:pPr>
              <w:pStyle w:val="TableCentre"/>
              <w:keepNext/>
              <w:jc w:val="left"/>
              <w:rPr>
                <w:b w:val="0"/>
                <w:bCs w:val="0"/>
                <w:color w:val="auto"/>
                <w:lang w:val="en-US"/>
              </w:rPr>
            </w:pPr>
          </w:p>
        </w:tc>
        <w:tc>
          <w:tcPr>
            <w:tcW w:w="1347" w:type="dxa"/>
            <w:vAlign w:val="center"/>
          </w:tcPr>
          <w:p w14:paraId="14E64D95" w14:textId="77777777" w:rsidR="00EF1D77" w:rsidRPr="005A70EC" w:rsidRDefault="00EF1D77" w:rsidP="00656AF0">
            <w:pPr>
              <w:pStyle w:val="TableCentre"/>
              <w:keepNext/>
              <w:cnfStyle w:val="100000000000" w:firstRow="1" w:lastRow="0" w:firstColumn="0" w:lastColumn="0" w:oddVBand="0" w:evenVBand="0" w:oddHBand="0" w:evenHBand="0" w:firstRowFirstColumn="0" w:firstRowLastColumn="0" w:lastRowFirstColumn="0" w:lastRowLastColumn="0"/>
              <w:rPr>
                <w:lang w:val="en-US"/>
              </w:rPr>
            </w:pPr>
            <w:r w:rsidRPr="005A70EC">
              <w:t>Avista</w:t>
            </w:r>
          </w:p>
        </w:tc>
        <w:tc>
          <w:tcPr>
            <w:tcW w:w="1348" w:type="dxa"/>
            <w:vAlign w:val="center"/>
          </w:tcPr>
          <w:p w14:paraId="623B0194" w14:textId="77777777" w:rsidR="00EF1D77" w:rsidRPr="005A70EC" w:rsidRDefault="00EF1D77" w:rsidP="00656AF0">
            <w:pPr>
              <w:pStyle w:val="TableCentre"/>
              <w:keepNext/>
              <w:cnfStyle w:val="100000000000" w:firstRow="1" w:lastRow="0" w:firstColumn="0" w:lastColumn="0" w:oddVBand="0" w:evenVBand="0" w:oddHBand="0" w:evenHBand="0" w:firstRowFirstColumn="0" w:firstRowLastColumn="0" w:lastRowFirstColumn="0" w:lastRowLastColumn="0"/>
              <w:rPr>
                <w:lang w:val="en-US"/>
              </w:rPr>
            </w:pPr>
            <w:r w:rsidRPr="005A70EC">
              <w:t>BC Hydro</w:t>
            </w:r>
          </w:p>
        </w:tc>
        <w:tc>
          <w:tcPr>
            <w:tcW w:w="1187" w:type="dxa"/>
            <w:vAlign w:val="center"/>
          </w:tcPr>
          <w:p w14:paraId="0CB86A4D" w14:textId="77777777" w:rsidR="00EF1D77" w:rsidRPr="005A70EC" w:rsidRDefault="00EF1D77" w:rsidP="00656AF0">
            <w:pPr>
              <w:pStyle w:val="TableCentre"/>
              <w:keepNext/>
              <w:cnfStyle w:val="100000000000" w:firstRow="1" w:lastRow="0" w:firstColumn="0" w:lastColumn="0" w:oddVBand="0" w:evenVBand="0" w:oddHBand="0" w:evenHBand="0" w:firstRowFirstColumn="0" w:firstRowLastColumn="0" w:lastRowFirstColumn="0" w:lastRowLastColumn="0"/>
              <w:rPr>
                <w:lang w:val="en-US"/>
              </w:rPr>
            </w:pPr>
            <w:r w:rsidRPr="005A70EC">
              <w:t>Idaho Power</w:t>
            </w:r>
          </w:p>
        </w:tc>
        <w:tc>
          <w:tcPr>
            <w:tcW w:w="1541" w:type="dxa"/>
            <w:vAlign w:val="center"/>
          </w:tcPr>
          <w:p w14:paraId="19D2D628" w14:textId="2D814FDF" w:rsidR="00EF1D77" w:rsidRPr="005A70EC" w:rsidRDefault="00EF1D77" w:rsidP="000C65A4">
            <w:pPr>
              <w:pStyle w:val="TableCentre"/>
              <w:keepNext/>
              <w:cnfStyle w:val="100000000000" w:firstRow="1" w:lastRow="0" w:firstColumn="0" w:lastColumn="0" w:oddVBand="0" w:evenVBand="0" w:oddHBand="0" w:evenHBand="0" w:firstRowFirstColumn="0" w:firstRowLastColumn="0" w:lastRowFirstColumn="0" w:lastRowLastColumn="0"/>
              <w:rPr>
                <w:lang w:val="en-US"/>
              </w:rPr>
            </w:pPr>
            <w:r w:rsidRPr="005A70EC">
              <w:t>North</w:t>
            </w:r>
            <w:r w:rsidR="000C65A4">
              <w:t>W</w:t>
            </w:r>
            <w:r w:rsidRPr="005A70EC">
              <w:t>estern Energy</w:t>
            </w:r>
          </w:p>
        </w:tc>
        <w:tc>
          <w:tcPr>
            <w:tcW w:w="1347" w:type="dxa"/>
            <w:vAlign w:val="center"/>
          </w:tcPr>
          <w:p w14:paraId="486E6943" w14:textId="77777777" w:rsidR="00EF1D77" w:rsidRPr="005A70EC" w:rsidRDefault="00EF1D77" w:rsidP="00656AF0">
            <w:pPr>
              <w:pStyle w:val="TableCentre"/>
              <w:keepNext/>
              <w:cnfStyle w:val="100000000000" w:firstRow="1" w:lastRow="0" w:firstColumn="0" w:lastColumn="0" w:oddVBand="0" w:evenVBand="0" w:oddHBand="0" w:evenHBand="0" w:firstRowFirstColumn="0" w:firstRowLastColumn="0" w:lastRowFirstColumn="0" w:lastRowLastColumn="0"/>
              <w:rPr>
                <w:lang w:val="en-US"/>
              </w:rPr>
            </w:pPr>
            <w:r w:rsidRPr="005A70EC">
              <w:t>Pacific Corp</w:t>
            </w:r>
          </w:p>
        </w:tc>
        <w:tc>
          <w:tcPr>
            <w:tcW w:w="1348" w:type="dxa"/>
            <w:vAlign w:val="center"/>
          </w:tcPr>
          <w:p w14:paraId="4EC91A0A" w14:textId="77777777" w:rsidR="00EF1D77" w:rsidRPr="005A70EC" w:rsidRDefault="00EF1D77" w:rsidP="00656AF0">
            <w:pPr>
              <w:pStyle w:val="TableCentre"/>
              <w:keepNext/>
              <w:cnfStyle w:val="100000000000" w:firstRow="1" w:lastRow="0" w:firstColumn="0" w:lastColumn="0" w:oddVBand="0" w:evenVBand="0" w:oddHBand="0" w:evenHBand="0" w:firstRowFirstColumn="0" w:firstRowLastColumn="0" w:lastRowFirstColumn="0" w:lastRowLastColumn="0"/>
              <w:rPr>
                <w:lang w:val="en-US"/>
              </w:rPr>
            </w:pPr>
            <w:r w:rsidRPr="005A70EC">
              <w:t>Portland General Electric</w:t>
            </w:r>
          </w:p>
        </w:tc>
        <w:tc>
          <w:tcPr>
            <w:tcW w:w="1348" w:type="dxa"/>
            <w:vAlign w:val="center"/>
          </w:tcPr>
          <w:p w14:paraId="13F8BE4A" w14:textId="77777777" w:rsidR="00EF1D77" w:rsidRPr="005A70EC" w:rsidRDefault="00EF1D77" w:rsidP="00656AF0">
            <w:pPr>
              <w:pStyle w:val="TableCentre"/>
              <w:keepNext/>
              <w:cnfStyle w:val="100000000000" w:firstRow="1" w:lastRow="0" w:firstColumn="0" w:lastColumn="0" w:oddVBand="0" w:evenVBand="0" w:oddHBand="0" w:evenHBand="0" w:firstRowFirstColumn="0" w:firstRowLastColumn="0" w:lastRowFirstColumn="0" w:lastRowLastColumn="0"/>
              <w:rPr>
                <w:lang w:val="en-US"/>
              </w:rPr>
            </w:pPr>
            <w:r w:rsidRPr="005A70EC">
              <w:t>Puget Sound Energy</w:t>
            </w:r>
          </w:p>
        </w:tc>
      </w:tr>
      <w:tr w:rsidR="00EF1D77" w:rsidRPr="005A70EC" w14:paraId="356D44D0" w14:textId="77777777" w:rsidTr="000C6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0E42D720" w14:textId="77777777" w:rsidR="00EF1D77" w:rsidRDefault="00EF1D77" w:rsidP="00656AF0">
            <w:pPr>
              <w:pStyle w:val="TableCentre"/>
              <w:keepNext/>
              <w:spacing w:after="40"/>
              <w:jc w:val="left"/>
              <w:rPr>
                <w:b w:val="0"/>
                <w:bCs w:val="0"/>
                <w:lang w:val="en-US"/>
              </w:rPr>
            </w:pPr>
            <w:r w:rsidRPr="005A70EC">
              <w:rPr>
                <w:lang w:val="en-US"/>
              </w:rPr>
              <w:t xml:space="preserve">PRM </w:t>
            </w:r>
          </w:p>
        </w:tc>
        <w:tc>
          <w:tcPr>
            <w:tcW w:w="1347" w:type="dxa"/>
          </w:tcPr>
          <w:p w14:paraId="35439947" w14:textId="77777777" w:rsidR="00EF1D77" w:rsidRPr="009D6F20" w:rsidRDefault="00EF1D77" w:rsidP="00656AF0">
            <w:pPr>
              <w:pStyle w:val="TableCentre"/>
              <w:keepNext/>
              <w:spacing w:after="40"/>
              <w:cnfStyle w:val="000000100000" w:firstRow="0" w:lastRow="0" w:firstColumn="0" w:lastColumn="0" w:oddVBand="0" w:evenVBand="0" w:oddHBand="1" w:evenHBand="0" w:firstRowFirstColumn="0" w:firstRowLastColumn="0" w:lastRowFirstColumn="0" w:lastRowLastColumn="0"/>
              <w:rPr>
                <w:sz w:val="18"/>
                <w:lang w:val="en-US"/>
              </w:rPr>
            </w:pPr>
            <w:r w:rsidRPr="009D6F20">
              <w:rPr>
                <w:sz w:val="18"/>
                <w:lang w:val="en-US"/>
              </w:rPr>
              <w:t>24% incl. OR</w:t>
            </w:r>
          </w:p>
          <w:p w14:paraId="7D5C0A89" w14:textId="77777777" w:rsidR="00EF1D77" w:rsidRPr="009D6F20" w:rsidRDefault="00EF1D77" w:rsidP="00656AF0">
            <w:pPr>
              <w:pStyle w:val="TableCentre"/>
              <w:keepNext/>
              <w:spacing w:after="40"/>
              <w:cnfStyle w:val="000000100000" w:firstRow="0" w:lastRow="0" w:firstColumn="0" w:lastColumn="0" w:oddVBand="0" w:evenVBand="0" w:oddHBand="1" w:evenHBand="0" w:firstRowFirstColumn="0" w:firstRowLastColumn="0" w:lastRowFirstColumn="0" w:lastRowLastColumn="0"/>
              <w:rPr>
                <w:sz w:val="18"/>
                <w:lang w:val="en-US"/>
              </w:rPr>
            </w:pPr>
            <w:r w:rsidRPr="009D6F20">
              <w:rPr>
                <w:sz w:val="18"/>
                <w:lang w:val="en-US"/>
              </w:rPr>
              <w:t>15% excl. OR</w:t>
            </w:r>
          </w:p>
        </w:tc>
        <w:tc>
          <w:tcPr>
            <w:tcW w:w="1348" w:type="dxa"/>
          </w:tcPr>
          <w:p w14:paraId="4F0D307D" w14:textId="77777777" w:rsidR="00EF1D77" w:rsidRPr="009D6F20" w:rsidRDefault="00EF1D77" w:rsidP="00656AF0">
            <w:pPr>
              <w:pStyle w:val="TableCentre"/>
              <w:keepNext/>
              <w:spacing w:after="40"/>
              <w:cnfStyle w:val="000000100000" w:firstRow="0" w:lastRow="0" w:firstColumn="0" w:lastColumn="0" w:oddVBand="0" w:evenVBand="0" w:oddHBand="1" w:evenHBand="0" w:firstRowFirstColumn="0" w:firstRowLastColumn="0" w:lastRowFirstColumn="0" w:lastRowLastColumn="0"/>
              <w:rPr>
                <w:sz w:val="18"/>
                <w:lang w:val="en-US"/>
              </w:rPr>
            </w:pPr>
            <w:r w:rsidRPr="009D6F20">
              <w:rPr>
                <w:sz w:val="18"/>
                <w:lang w:val="en-US"/>
              </w:rPr>
              <w:t>14%</w:t>
            </w:r>
            <w:r w:rsidRPr="009D6F20">
              <w:rPr>
                <w:rStyle w:val="FootnoteReference"/>
                <w:rFonts w:cs="Arial"/>
                <w:sz w:val="18"/>
                <w:szCs w:val="20"/>
                <w:lang w:val="en-US"/>
              </w:rPr>
              <w:footnoteReference w:id="9"/>
            </w:r>
          </w:p>
        </w:tc>
        <w:tc>
          <w:tcPr>
            <w:tcW w:w="1187" w:type="dxa"/>
          </w:tcPr>
          <w:p w14:paraId="480A1C07" w14:textId="77777777" w:rsidR="00EF1D77" w:rsidRPr="009D6F20" w:rsidRDefault="00EF1D77" w:rsidP="00656AF0">
            <w:pPr>
              <w:pStyle w:val="TableCentre"/>
              <w:keepNext/>
              <w:spacing w:after="40"/>
              <w:cnfStyle w:val="000000100000" w:firstRow="0" w:lastRow="0" w:firstColumn="0" w:lastColumn="0" w:oddVBand="0" w:evenVBand="0" w:oddHBand="1" w:evenHBand="0" w:firstRowFirstColumn="0" w:firstRowLastColumn="0" w:lastRowFirstColumn="0" w:lastRowLastColumn="0"/>
              <w:rPr>
                <w:sz w:val="18"/>
                <w:lang w:val="en-US"/>
              </w:rPr>
            </w:pPr>
            <w:r w:rsidRPr="009D6F20">
              <w:rPr>
                <w:sz w:val="18"/>
                <w:lang w:val="en-US"/>
              </w:rPr>
              <w:t>10%</w:t>
            </w:r>
          </w:p>
        </w:tc>
        <w:tc>
          <w:tcPr>
            <w:tcW w:w="1541" w:type="dxa"/>
          </w:tcPr>
          <w:p w14:paraId="46E2129B" w14:textId="77777777" w:rsidR="00EF1D77" w:rsidRPr="009D6F20" w:rsidRDefault="00EF1D77" w:rsidP="00656AF0">
            <w:pPr>
              <w:pStyle w:val="TableCentre"/>
              <w:keepNext/>
              <w:spacing w:after="40"/>
              <w:cnfStyle w:val="000000100000" w:firstRow="0" w:lastRow="0" w:firstColumn="0" w:lastColumn="0" w:oddVBand="0" w:evenVBand="0" w:oddHBand="1" w:evenHBand="0" w:firstRowFirstColumn="0" w:firstRowLastColumn="0" w:lastRowFirstColumn="0" w:lastRowLastColumn="0"/>
              <w:rPr>
                <w:sz w:val="18"/>
                <w:lang w:val="en-US"/>
              </w:rPr>
            </w:pPr>
            <w:r w:rsidRPr="009D6F20">
              <w:rPr>
                <w:sz w:val="18"/>
                <w:lang w:val="en-US"/>
              </w:rPr>
              <w:t>PRM by Suppliers</w:t>
            </w:r>
          </w:p>
        </w:tc>
        <w:tc>
          <w:tcPr>
            <w:tcW w:w="1347" w:type="dxa"/>
          </w:tcPr>
          <w:p w14:paraId="69F0AAE2" w14:textId="77777777" w:rsidR="00EF1D77" w:rsidRPr="009D6F20" w:rsidRDefault="00EF1D77" w:rsidP="00656AF0">
            <w:pPr>
              <w:pStyle w:val="TableCentre"/>
              <w:keepNext/>
              <w:spacing w:after="40"/>
              <w:cnfStyle w:val="000000100000" w:firstRow="0" w:lastRow="0" w:firstColumn="0" w:lastColumn="0" w:oddVBand="0" w:evenVBand="0" w:oddHBand="1" w:evenHBand="0" w:firstRowFirstColumn="0" w:firstRowLastColumn="0" w:lastRowFirstColumn="0" w:lastRowLastColumn="0"/>
              <w:rPr>
                <w:sz w:val="18"/>
                <w:lang w:val="en-US"/>
              </w:rPr>
            </w:pPr>
            <w:r w:rsidRPr="009D6F20">
              <w:rPr>
                <w:sz w:val="18"/>
                <w:lang w:val="en-US"/>
              </w:rPr>
              <w:t>13%</w:t>
            </w:r>
          </w:p>
        </w:tc>
        <w:tc>
          <w:tcPr>
            <w:tcW w:w="1348" w:type="dxa"/>
          </w:tcPr>
          <w:p w14:paraId="50D8937E" w14:textId="77777777" w:rsidR="00EF1D77" w:rsidRPr="009D6F20" w:rsidRDefault="00EF1D77" w:rsidP="00656AF0">
            <w:pPr>
              <w:pStyle w:val="TableCentre"/>
              <w:keepNext/>
              <w:spacing w:after="40"/>
              <w:cnfStyle w:val="000000100000" w:firstRow="0" w:lastRow="0" w:firstColumn="0" w:lastColumn="0" w:oddVBand="0" w:evenVBand="0" w:oddHBand="1" w:evenHBand="0" w:firstRowFirstColumn="0" w:firstRowLastColumn="0" w:lastRowFirstColumn="0" w:lastRowLastColumn="0"/>
              <w:rPr>
                <w:sz w:val="18"/>
                <w:lang w:val="en-US"/>
              </w:rPr>
            </w:pPr>
            <w:r w:rsidRPr="009D6F20">
              <w:rPr>
                <w:sz w:val="18"/>
                <w:lang w:val="en-US"/>
              </w:rPr>
              <w:t>12%</w:t>
            </w:r>
          </w:p>
        </w:tc>
        <w:tc>
          <w:tcPr>
            <w:tcW w:w="1348" w:type="dxa"/>
          </w:tcPr>
          <w:p w14:paraId="1F9F1820" w14:textId="77777777" w:rsidR="00EF1D77" w:rsidRPr="009D6F20" w:rsidRDefault="00EF1D77" w:rsidP="00656AF0">
            <w:pPr>
              <w:pStyle w:val="TableCentre"/>
              <w:keepNext/>
              <w:spacing w:after="40"/>
              <w:cnfStyle w:val="000000100000" w:firstRow="0" w:lastRow="0" w:firstColumn="0" w:lastColumn="0" w:oddVBand="0" w:evenVBand="0" w:oddHBand="1" w:evenHBand="0" w:firstRowFirstColumn="0" w:firstRowLastColumn="0" w:lastRowFirstColumn="0" w:lastRowLastColumn="0"/>
              <w:rPr>
                <w:sz w:val="18"/>
                <w:lang w:val="en-US"/>
              </w:rPr>
            </w:pPr>
            <w:r w:rsidRPr="009D6F20">
              <w:rPr>
                <w:sz w:val="18"/>
                <w:lang w:val="en-US"/>
              </w:rPr>
              <w:t>15.7%</w:t>
            </w:r>
          </w:p>
        </w:tc>
      </w:tr>
      <w:tr w:rsidR="00EF1D77" w:rsidRPr="005A70EC" w14:paraId="3AE9B73E" w14:textId="77777777" w:rsidTr="000C65A4">
        <w:tc>
          <w:tcPr>
            <w:cnfStyle w:val="001000000000" w:firstRow="0" w:lastRow="0" w:firstColumn="1" w:lastColumn="0" w:oddVBand="0" w:evenVBand="0" w:oddHBand="0" w:evenHBand="0" w:firstRowFirstColumn="0" w:firstRowLastColumn="0" w:lastRowFirstColumn="0" w:lastRowLastColumn="0"/>
            <w:tcW w:w="1188" w:type="dxa"/>
          </w:tcPr>
          <w:p w14:paraId="3BF5BA73" w14:textId="77777777" w:rsidR="00EF1D77" w:rsidRDefault="00EF1D77" w:rsidP="00656AF0">
            <w:pPr>
              <w:pStyle w:val="TableCentre"/>
              <w:keepNext/>
              <w:spacing w:after="40"/>
              <w:jc w:val="left"/>
              <w:rPr>
                <w:b w:val="0"/>
                <w:bCs w:val="0"/>
                <w:lang w:val="en-US"/>
              </w:rPr>
            </w:pPr>
            <w:r w:rsidRPr="005A70EC">
              <w:rPr>
                <w:lang w:val="en-US"/>
              </w:rPr>
              <w:t>OR Included?</w:t>
            </w:r>
          </w:p>
        </w:tc>
        <w:tc>
          <w:tcPr>
            <w:tcW w:w="1347" w:type="dxa"/>
          </w:tcPr>
          <w:p w14:paraId="5CFEB447" w14:textId="77777777" w:rsidR="00EF1D77" w:rsidRPr="009D6F20" w:rsidRDefault="00EF1D77" w:rsidP="00656AF0">
            <w:pPr>
              <w:pStyle w:val="TableCentre"/>
              <w:keepNext/>
              <w:spacing w:after="40"/>
              <w:cnfStyle w:val="000000000000" w:firstRow="0" w:lastRow="0" w:firstColumn="0" w:lastColumn="0" w:oddVBand="0" w:evenVBand="0" w:oddHBand="0" w:evenHBand="0" w:firstRowFirstColumn="0" w:firstRowLastColumn="0" w:lastRowFirstColumn="0" w:lastRowLastColumn="0"/>
              <w:rPr>
                <w:sz w:val="18"/>
                <w:lang w:val="en-US"/>
              </w:rPr>
            </w:pPr>
            <w:r w:rsidRPr="009D6F20">
              <w:rPr>
                <w:sz w:val="18"/>
                <w:lang w:val="en-US"/>
              </w:rPr>
              <w:t>Yes and No</w:t>
            </w:r>
          </w:p>
        </w:tc>
        <w:tc>
          <w:tcPr>
            <w:tcW w:w="1348" w:type="dxa"/>
          </w:tcPr>
          <w:p w14:paraId="3256F437" w14:textId="77777777" w:rsidR="00EF1D77" w:rsidRPr="009D6F20" w:rsidRDefault="00EF1D77" w:rsidP="00656AF0">
            <w:pPr>
              <w:pStyle w:val="TableCentre"/>
              <w:keepNext/>
              <w:spacing w:after="40"/>
              <w:cnfStyle w:val="000000000000" w:firstRow="0" w:lastRow="0" w:firstColumn="0" w:lastColumn="0" w:oddVBand="0" w:evenVBand="0" w:oddHBand="0" w:evenHBand="0" w:firstRowFirstColumn="0" w:firstRowLastColumn="0" w:lastRowFirstColumn="0" w:lastRowLastColumn="0"/>
              <w:rPr>
                <w:sz w:val="18"/>
                <w:lang w:val="en-US"/>
              </w:rPr>
            </w:pPr>
            <w:r w:rsidRPr="009D6F20">
              <w:rPr>
                <w:sz w:val="18"/>
                <w:lang w:val="en-US"/>
              </w:rPr>
              <w:t>Yes</w:t>
            </w:r>
          </w:p>
        </w:tc>
        <w:tc>
          <w:tcPr>
            <w:tcW w:w="1187" w:type="dxa"/>
          </w:tcPr>
          <w:p w14:paraId="4CE3B573" w14:textId="77777777" w:rsidR="00EF1D77" w:rsidRPr="009D6F20" w:rsidRDefault="00EF1D77" w:rsidP="00656AF0">
            <w:pPr>
              <w:pStyle w:val="TableCentre"/>
              <w:keepNext/>
              <w:spacing w:after="40"/>
              <w:cnfStyle w:val="000000000000" w:firstRow="0" w:lastRow="0" w:firstColumn="0" w:lastColumn="0" w:oddVBand="0" w:evenVBand="0" w:oddHBand="0" w:evenHBand="0" w:firstRowFirstColumn="0" w:firstRowLastColumn="0" w:lastRowFirstColumn="0" w:lastRowLastColumn="0"/>
              <w:rPr>
                <w:sz w:val="18"/>
                <w:lang w:val="en-US"/>
              </w:rPr>
            </w:pPr>
            <w:r w:rsidRPr="009D6F20">
              <w:rPr>
                <w:sz w:val="18"/>
                <w:lang w:val="en-US"/>
              </w:rPr>
              <w:t>Yes</w:t>
            </w:r>
          </w:p>
        </w:tc>
        <w:tc>
          <w:tcPr>
            <w:tcW w:w="1541" w:type="dxa"/>
          </w:tcPr>
          <w:p w14:paraId="56B4E3F4" w14:textId="77777777" w:rsidR="00EF1D77" w:rsidRPr="009D6F20" w:rsidRDefault="00EF1D77" w:rsidP="00656AF0">
            <w:pPr>
              <w:pStyle w:val="TableCentre"/>
              <w:keepNext/>
              <w:spacing w:after="40"/>
              <w:cnfStyle w:val="000000000000" w:firstRow="0" w:lastRow="0" w:firstColumn="0" w:lastColumn="0" w:oddVBand="0" w:evenVBand="0" w:oddHBand="0" w:evenHBand="0" w:firstRowFirstColumn="0" w:firstRowLastColumn="0" w:lastRowFirstColumn="0" w:lastRowLastColumn="0"/>
              <w:rPr>
                <w:sz w:val="18"/>
                <w:lang w:val="en-US"/>
              </w:rPr>
            </w:pPr>
            <w:r w:rsidRPr="009D6F20">
              <w:rPr>
                <w:sz w:val="18"/>
                <w:lang w:val="en-US"/>
              </w:rPr>
              <w:t>N/A</w:t>
            </w:r>
          </w:p>
        </w:tc>
        <w:tc>
          <w:tcPr>
            <w:tcW w:w="1347" w:type="dxa"/>
          </w:tcPr>
          <w:p w14:paraId="7499E60C" w14:textId="77777777" w:rsidR="00EF1D77" w:rsidRPr="009D6F20" w:rsidRDefault="00EF1D77" w:rsidP="00656AF0">
            <w:pPr>
              <w:pStyle w:val="TableCentre"/>
              <w:keepNext/>
              <w:spacing w:after="40"/>
              <w:cnfStyle w:val="000000000000" w:firstRow="0" w:lastRow="0" w:firstColumn="0" w:lastColumn="0" w:oddVBand="0" w:evenVBand="0" w:oddHBand="0" w:evenHBand="0" w:firstRowFirstColumn="0" w:firstRowLastColumn="0" w:lastRowFirstColumn="0" w:lastRowLastColumn="0"/>
              <w:rPr>
                <w:sz w:val="18"/>
                <w:lang w:val="en-US"/>
              </w:rPr>
            </w:pPr>
            <w:r w:rsidRPr="009D6F20">
              <w:rPr>
                <w:sz w:val="18"/>
                <w:lang w:val="en-US"/>
              </w:rPr>
              <w:t>Yes</w:t>
            </w:r>
          </w:p>
        </w:tc>
        <w:tc>
          <w:tcPr>
            <w:tcW w:w="1348" w:type="dxa"/>
          </w:tcPr>
          <w:p w14:paraId="4F1B5577" w14:textId="77777777" w:rsidR="00EF1D77" w:rsidRPr="009D6F20" w:rsidRDefault="00EF1D77" w:rsidP="00656AF0">
            <w:pPr>
              <w:pStyle w:val="TableCentre"/>
              <w:keepNext/>
              <w:spacing w:after="40"/>
              <w:cnfStyle w:val="000000000000" w:firstRow="0" w:lastRow="0" w:firstColumn="0" w:lastColumn="0" w:oddVBand="0" w:evenVBand="0" w:oddHBand="0" w:evenHBand="0" w:firstRowFirstColumn="0" w:firstRowLastColumn="0" w:lastRowFirstColumn="0" w:lastRowLastColumn="0"/>
              <w:rPr>
                <w:sz w:val="18"/>
                <w:lang w:val="en-US"/>
              </w:rPr>
            </w:pPr>
            <w:r w:rsidRPr="009D6F20">
              <w:rPr>
                <w:sz w:val="18"/>
                <w:lang w:val="en-US"/>
              </w:rPr>
              <w:t>Yes</w:t>
            </w:r>
          </w:p>
        </w:tc>
        <w:tc>
          <w:tcPr>
            <w:tcW w:w="1348" w:type="dxa"/>
          </w:tcPr>
          <w:p w14:paraId="66AAA0DA" w14:textId="77777777" w:rsidR="00EF1D77" w:rsidRPr="009D6F20" w:rsidRDefault="00EF1D77" w:rsidP="00656AF0">
            <w:pPr>
              <w:pStyle w:val="TableCentre"/>
              <w:keepNext/>
              <w:spacing w:after="40"/>
              <w:cnfStyle w:val="000000000000" w:firstRow="0" w:lastRow="0" w:firstColumn="0" w:lastColumn="0" w:oddVBand="0" w:evenVBand="0" w:oddHBand="0" w:evenHBand="0" w:firstRowFirstColumn="0" w:firstRowLastColumn="0" w:lastRowFirstColumn="0" w:lastRowLastColumn="0"/>
              <w:rPr>
                <w:sz w:val="18"/>
                <w:lang w:val="en-US"/>
              </w:rPr>
            </w:pPr>
            <w:r w:rsidRPr="009D6F20">
              <w:rPr>
                <w:sz w:val="18"/>
                <w:lang w:val="en-US"/>
              </w:rPr>
              <w:t>No</w:t>
            </w:r>
          </w:p>
        </w:tc>
      </w:tr>
      <w:tr w:rsidR="00EF1D77" w:rsidRPr="005A70EC" w14:paraId="536861A4" w14:textId="77777777" w:rsidTr="000C65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14:paraId="33279C84" w14:textId="77777777" w:rsidR="00EF1D77" w:rsidRDefault="00EF1D77" w:rsidP="00656AF0">
            <w:pPr>
              <w:pStyle w:val="TableCentre"/>
              <w:keepNext/>
              <w:spacing w:after="40"/>
              <w:jc w:val="left"/>
              <w:rPr>
                <w:b w:val="0"/>
                <w:bCs w:val="0"/>
                <w:lang w:val="en-US"/>
              </w:rPr>
            </w:pPr>
            <w:r w:rsidRPr="005A70EC">
              <w:rPr>
                <w:lang w:val="en-US"/>
              </w:rPr>
              <w:t>Market Included?</w:t>
            </w:r>
          </w:p>
        </w:tc>
        <w:tc>
          <w:tcPr>
            <w:tcW w:w="1347" w:type="dxa"/>
          </w:tcPr>
          <w:p w14:paraId="11AC4960" w14:textId="77777777" w:rsidR="00EF1D77" w:rsidRPr="009D6F20" w:rsidRDefault="00EF1D77" w:rsidP="00656AF0">
            <w:pPr>
              <w:pStyle w:val="TableCentre"/>
              <w:keepNext/>
              <w:spacing w:after="40"/>
              <w:cnfStyle w:val="000000100000" w:firstRow="0" w:lastRow="0" w:firstColumn="0" w:lastColumn="0" w:oddVBand="0" w:evenVBand="0" w:oddHBand="1" w:evenHBand="0" w:firstRowFirstColumn="0" w:firstRowLastColumn="0" w:lastRowFirstColumn="0" w:lastRowLastColumn="0"/>
              <w:rPr>
                <w:sz w:val="18"/>
                <w:lang w:val="en-US"/>
              </w:rPr>
            </w:pPr>
            <w:r w:rsidRPr="009D6F20">
              <w:rPr>
                <w:sz w:val="18"/>
                <w:lang w:val="en-US"/>
              </w:rPr>
              <w:t>Yes</w:t>
            </w:r>
          </w:p>
        </w:tc>
        <w:tc>
          <w:tcPr>
            <w:tcW w:w="1348" w:type="dxa"/>
          </w:tcPr>
          <w:p w14:paraId="19879E0D" w14:textId="77777777" w:rsidR="00EF1D77" w:rsidRPr="009D6F20" w:rsidRDefault="00EF1D77" w:rsidP="00656AF0">
            <w:pPr>
              <w:pStyle w:val="TableCentre"/>
              <w:keepNext/>
              <w:spacing w:after="40"/>
              <w:cnfStyle w:val="000000100000" w:firstRow="0" w:lastRow="0" w:firstColumn="0" w:lastColumn="0" w:oddVBand="0" w:evenVBand="0" w:oddHBand="1" w:evenHBand="0" w:firstRowFirstColumn="0" w:firstRowLastColumn="0" w:lastRowFirstColumn="0" w:lastRowLastColumn="0"/>
              <w:rPr>
                <w:sz w:val="18"/>
                <w:lang w:val="en-US"/>
              </w:rPr>
            </w:pPr>
            <w:r w:rsidRPr="009D6F20">
              <w:rPr>
                <w:sz w:val="18"/>
                <w:lang w:val="en-US"/>
              </w:rPr>
              <w:t>No</w:t>
            </w:r>
          </w:p>
        </w:tc>
        <w:tc>
          <w:tcPr>
            <w:tcW w:w="1187" w:type="dxa"/>
          </w:tcPr>
          <w:p w14:paraId="02C718B7" w14:textId="77777777" w:rsidR="00EF1D77" w:rsidRPr="009D6F20" w:rsidRDefault="00EF1D77" w:rsidP="00656AF0">
            <w:pPr>
              <w:pStyle w:val="TableCentre"/>
              <w:keepNext/>
              <w:spacing w:after="40"/>
              <w:cnfStyle w:val="000000100000" w:firstRow="0" w:lastRow="0" w:firstColumn="0" w:lastColumn="0" w:oddVBand="0" w:evenVBand="0" w:oddHBand="1" w:evenHBand="0" w:firstRowFirstColumn="0" w:firstRowLastColumn="0" w:lastRowFirstColumn="0" w:lastRowLastColumn="0"/>
              <w:rPr>
                <w:sz w:val="18"/>
                <w:lang w:val="en-US"/>
              </w:rPr>
            </w:pPr>
            <w:r w:rsidRPr="009D6F20">
              <w:rPr>
                <w:sz w:val="18"/>
                <w:lang w:val="en-US"/>
              </w:rPr>
              <w:t>Yes</w:t>
            </w:r>
          </w:p>
        </w:tc>
        <w:tc>
          <w:tcPr>
            <w:tcW w:w="1541" w:type="dxa"/>
          </w:tcPr>
          <w:p w14:paraId="2B0BDC9A" w14:textId="77777777" w:rsidR="00EF1D77" w:rsidRPr="009D6F20" w:rsidRDefault="00EF1D77" w:rsidP="00656AF0">
            <w:pPr>
              <w:pStyle w:val="TableCentre"/>
              <w:keepNext/>
              <w:spacing w:after="40"/>
              <w:cnfStyle w:val="000000100000" w:firstRow="0" w:lastRow="0" w:firstColumn="0" w:lastColumn="0" w:oddVBand="0" w:evenVBand="0" w:oddHBand="1" w:evenHBand="0" w:firstRowFirstColumn="0" w:firstRowLastColumn="0" w:lastRowFirstColumn="0" w:lastRowLastColumn="0"/>
              <w:rPr>
                <w:sz w:val="18"/>
                <w:lang w:val="en-US"/>
              </w:rPr>
            </w:pPr>
            <w:r w:rsidRPr="009D6F20">
              <w:rPr>
                <w:sz w:val="18"/>
                <w:lang w:val="en-US"/>
              </w:rPr>
              <w:t>Yes (100%)</w:t>
            </w:r>
          </w:p>
        </w:tc>
        <w:tc>
          <w:tcPr>
            <w:tcW w:w="1347" w:type="dxa"/>
          </w:tcPr>
          <w:p w14:paraId="011ADBAA" w14:textId="77777777" w:rsidR="00EF1D77" w:rsidRPr="009D6F20" w:rsidRDefault="00EF1D77" w:rsidP="00656AF0">
            <w:pPr>
              <w:pStyle w:val="TableCentre"/>
              <w:keepNext/>
              <w:spacing w:after="40"/>
              <w:cnfStyle w:val="000000100000" w:firstRow="0" w:lastRow="0" w:firstColumn="0" w:lastColumn="0" w:oddVBand="0" w:evenVBand="0" w:oddHBand="1" w:evenHBand="0" w:firstRowFirstColumn="0" w:firstRowLastColumn="0" w:lastRowFirstColumn="0" w:lastRowLastColumn="0"/>
              <w:rPr>
                <w:sz w:val="18"/>
                <w:lang w:val="en-US"/>
              </w:rPr>
            </w:pPr>
            <w:r w:rsidRPr="009D6F20">
              <w:rPr>
                <w:sz w:val="18"/>
                <w:lang w:val="en-US"/>
              </w:rPr>
              <w:t>Yes</w:t>
            </w:r>
          </w:p>
        </w:tc>
        <w:tc>
          <w:tcPr>
            <w:tcW w:w="1348" w:type="dxa"/>
          </w:tcPr>
          <w:p w14:paraId="7E69B975" w14:textId="77777777" w:rsidR="00EF1D77" w:rsidRPr="009D6F20" w:rsidRDefault="00EF1D77" w:rsidP="00656AF0">
            <w:pPr>
              <w:pStyle w:val="TableCentre"/>
              <w:keepNext/>
              <w:spacing w:after="40"/>
              <w:cnfStyle w:val="000000100000" w:firstRow="0" w:lastRow="0" w:firstColumn="0" w:lastColumn="0" w:oddVBand="0" w:evenVBand="0" w:oddHBand="1" w:evenHBand="0" w:firstRowFirstColumn="0" w:firstRowLastColumn="0" w:lastRowFirstColumn="0" w:lastRowLastColumn="0"/>
              <w:rPr>
                <w:sz w:val="18"/>
                <w:lang w:val="en-US"/>
              </w:rPr>
            </w:pPr>
            <w:r w:rsidRPr="009D6F20">
              <w:rPr>
                <w:sz w:val="18"/>
                <w:lang w:val="en-US"/>
              </w:rPr>
              <w:t>No</w:t>
            </w:r>
          </w:p>
        </w:tc>
        <w:tc>
          <w:tcPr>
            <w:tcW w:w="1348" w:type="dxa"/>
          </w:tcPr>
          <w:p w14:paraId="38FCC041" w14:textId="77777777" w:rsidR="00EF1D77" w:rsidRPr="009D6F20" w:rsidRDefault="00EF1D77" w:rsidP="00656AF0">
            <w:pPr>
              <w:pStyle w:val="TableCentre"/>
              <w:keepNext/>
              <w:spacing w:after="40"/>
              <w:cnfStyle w:val="000000100000" w:firstRow="0" w:lastRow="0" w:firstColumn="0" w:lastColumn="0" w:oddVBand="0" w:evenVBand="0" w:oddHBand="1" w:evenHBand="0" w:firstRowFirstColumn="0" w:firstRowLastColumn="0" w:lastRowFirstColumn="0" w:lastRowLastColumn="0"/>
              <w:rPr>
                <w:sz w:val="18"/>
                <w:lang w:val="en-US"/>
              </w:rPr>
            </w:pPr>
            <w:r w:rsidRPr="009D6F20">
              <w:rPr>
                <w:sz w:val="18"/>
                <w:lang w:val="en-US"/>
              </w:rPr>
              <w:t>Yes</w:t>
            </w:r>
          </w:p>
        </w:tc>
      </w:tr>
      <w:tr w:rsidR="00EF1D77" w:rsidRPr="005A70EC" w14:paraId="15BE88FA" w14:textId="77777777" w:rsidTr="000C65A4">
        <w:tc>
          <w:tcPr>
            <w:cnfStyle w:val="001000000000" w:firstRow="0" w:lastRow="0" w:firstColumn="1" w:lastColumn="0" w:oddVBand="0" w:evenVBand="0" w:oddHBand="0" w:evenHBand="0" w:firstRowFirstColumn="0" w:firstRowLastColumn="0" w:lastRowFirstColumn="0" w:lastRowLastColumn="0"/>
            <w:tcW w:w="1188" w:type="dxa"/>
          </w:tcPr>
          <w:p w14:paraId="6676BD39" w14:textId="77777777" w:rsidR="00EF1D77" w:rsidRDefault="00EF1D77" w:rsidP="00656AF0">
            <w:pPr>
              <w:pStyle w:val="TableCentre"/>
              <w:spacing w:after="40"/>
              <w:jc w:val="left"/>
              <w:rPr>
                <w:b w:val="0"/>
                <w:bCs w:val="0"/>
                <w:lang w:val="en-US"/>
              </w:rPr>
            </w:pPr>
            <w:r w:rsidRPr="005A70EC">
              <w:rPr>
                <w:lang w:val="en-US"/>
              </w:rPr>
              <w:lastRenderedPageBreak/>
              <w:t>Reference</w:t>
            </w:r>
          </w:p>
        </w:tc>
        <w:tc>
          <w:tcPr>
            <w:tcW w:w="1347" w:type="dxa"/>
          </w:tcPr>
          <w:p w14:paraId="74461C14" w14:textId="77777777" w:rsidR="00EF1D77" w:rsidRPr="009D6F20" w:rsidRDefault="00EF1D77" w:rsidP="00656AF0">
            <w:pPr>
              <w:pStyle w:val="TableCentre"/>
              <w:spacing w:after="40"/>
              <w:cnfStyle w:val="000000000000" w:firstRow="0" w:lastRow="0" w:firstColumn="0" w:lastColumn="0" w:oddVBand="0" w:evenVBand="0" w:oddHBand="0" w:evenHBand="0" w:firstRowFirstColumn="0" w:firstRowLastColumn="0" w:lastRowFirstColumn="0" w:lastRowLastColumn="0"/>
              <w:rPr>
                <w:sz w:val="18"/>
                <w:lang w:val="en-US"/>
              </w:rPr>
            </w:pPr>
            <w:r w:rsidRPr="009D6F20">
              <w:rPr>
                <w:sz w:val="18"/>
                <w:lang w:val="en-US"/>
              </w:rPr>
              <w:t>2011 Electric IRP</w:t>
            </w:r>
            <w:r w:rsidRPr="009D6F20">
              <w:rPr>
                <w:rStyle w:val="FootnoteReference"/>
                <w:rFonts w:cs="Arial"/>
                <w:sz w:val="18"/>
                <w:szCs w:val="20"/>
                <w:lang w:val="en-US"/>
              </w:rPr>
              <w:footnoteReference w:id="10"/>
            </w:r>
          </w:p>
        </w:tc>
        <w:tc>
          <w:tcPr>
            <w:tcW w:w="1348" w:type="dxa"/>
          </w:tcPr>
          <w:p w14:paraId="40B02C71" w14:textId="77777777" w:rsidR="00EF1D77" w:rsidRPr="009D6F20" w:rsidRDefault="00EF1D77" w:rsidP="00656AF0">
            <w:pPr>
              <w:pStyle w:val="TableCentre"/>
              <w:spacing w:after="40"/>
              <w:cnfStyle w:val="000000000000" w:firstRow="0" w:lastRow="0" w:firstColumn="0" w:lastColumn="0" w:oddVBand="0" w:evenVBand="0" w:oddHBand="0" w:evenHBand="0" w:firstRowFirstColumn="0" w:firstRowLastColumn="0" w:lastRowFirstColumn="0" w:lastRowLastColumn="0"/>
              <w:rPr>
                <w:sz w:val="18"/>
                <w:lang w:val="en-US"/>
              </w:rPr>
            </w:pPr>
            <w:r w:rsidRPr="009D6F20">
              <w:rPr>
                <w:sz w:val="18"/>
                <w:lang w:val="en-US"/>
              </w:rPr>
              <w:t>2008 LTAP and 2013 IRP</w:t>
            </w:r>
          </w:p>
        </w:tc>
        <w:tc>
          <w:tcPr>
            <w:tcW w:w="1187" w:type="dxa"/>
          </w:tcPr>
          <w:p w14:paraId="41A5CA96" w14:textId="77777777" w:rsidR="00EF1D77" w:rsidRPr="009D6F20" w:rsidRDefault="00EF1D77" w:rsidP="00656AF0">
            <w:pPr>
              <w:pStyle w:val="TableCentre"/>
              <w:spacing w:after="40"/>
              <w:cnfStyle w:val="000000000000" w:firstRow="0" w:lastRow="0" w:firstColumn="0" w:lastColumn="0" w:oddVBand="0" w:evenVBand="0" w:oddHBand="0" w:evenHBand="0" w:firstRowFirstColumn="0" w:firstRowLastColumn="0" w:lastRowFirstColumn="0" w:lastRowLastColumn="0"/>
              <w:rPr>
                <w:sz w:val="18"/>
                <w:lang w:val="en-US"/>
              </w:rPr>
            </w:pPr>
            <w:r w:rsidRPr="009D6F20">
              <w:rPr>
                <w:sz w:val="18"/>
                <w:lang w:val="en-US"/>
              </w:rPr>
              <w:t>2011 IRP</w:t>
            </w:r>
            <w:r w:rsidRPr="009D6F20">
              <w:rPr>
                <w:rStyle w:val="FootnoteReference"/>
                <w:rFonts w:cs="Arial"/>
                <w:sz w:val="18"/>
                <w:szCs w:val="20"/>
                <w:lang w:val="en-US"/>
              </w:rPr>
              <w:footnoteReference w:id="11"/>
            </w:r>
          </w:p>
        </w:tc>
        <w:tc>
          <w:tcPr>
            <w:tcW w:w="1541" w:type="dxa"/>
          </w:tcPr>
          <w:p w14:paraId="1059A6AD" w14:textId="77777777" w:rsidR="00EF1D77" w:rsidRPr="009D6F20" w:rsidRDefault="00EF1D77" w:rsidP="00656AF0">
            <w:pPr>
              <w:pStyle w:val="TableCentre"/>
              <w:spacing w:after="40"/>
              <w:cnfStyle w:val="000000000000" w:firstRow="0" w:lastRow="0" w:firstColumn="0" w:lastColumn="0" w:oddVBand="0" w:evenVBand="0" w:oddHBand="0" w:evenHBand="0" w:firstRowFirstColumn="0" w:firstRowLastColumn="0" w:lastRowFirstColumn="0" w:lastRowLastColumn="0"/>
              <w:rPr>
                <w:sz w:val="18"/>
                <w:lang w:val="en-US"/>
              </w:rPr>
            </w:pPr>
            <w:r w:rsidRPr="009D6F20">
              <w:rPr>
                <w:sz w:val="18"/>
                <w:lang w:val="en-US"/>
              </w:rPr>
              <w:t>2011 IRP</w:t>
            </w:r>
            <w:r w:rsidRPr="009D6F20">
              <w:rPr>
                <w:rStyle w:val="FootnoteReference"/>
                <w:rFonts w:cs="Arial"/>
                <w:sz w:val="18"/>
                <w:szCs w:val="20"/>
                <w:lang w:val="en-US"/>
              </w:rPr>
              <w:footnoteReference w:id="12"/>
            </w:r>
          </w:p>
        </w:tc>
        <w:tc>
          <w:tcPr>
            <w:tcW w:w="1347" w:type="dxa"/>
          </w:tcPr>
          <w:p w14:paraId="5A5BE794" w14:textId="77777777" w:rsidR="00EF1D77" w:rsidRPr="009D6F20" w:rsidRDefault="00EF1D77" w:rsidP="00656AF0">
            <w:pPr>
              <w:pStyle w:val="TableCentre"/>
              <w:spacing w:after="40"/>
              <w:cnfStyle w:val="000000000000" w:firstRow="0" w:lastRow="0" w:firstColumn="0" w:lastColumn="0" w:oddVBand="0" w:evenVBand="0" w:oddHBand="0" w:evenHBand="0" w:firstRowFirstColumn="0" w:firstRowLastColumn="0" w:lastRowFirstColumn="0" w:lastRowLastColumn="0"/>
              <w:rPr>
                <w:sz w:val="18"/>
                <w:lang w:val="en-US"/>
              </w:rPr>
            </w:pPr>
            <w:r w:rsidRPr="009D6F20">
              <w:rPr>
                <w:sz w:val="18"/>
                <w:lang w:val="en-US"/>
              </w:rPr>
              <w:t>2011 IRP</w:t>
            </w:r>
            <w:r w:rsidRPr="009D6F20">
              <w:rPr>
                <w:rStyle w:val="FootnoteReference"/>
                <w:rFonts w:cs="Arial"/>
                <w:sz w:val="18"/>
                <w:szCs w:val="20"/>
                <w:lang w:val="en-US"/>
              </w:rPr>
              <w:footnoteReference w:id="13"/>
            </w:r>
          </w:p>
        </w:tc>
        <w:tc>
          <w:tcPr>
            <w:tcW w:w="1348" w:type="dxa"/>
          </w:tcPr>
          <w:p w14:paraId="12D00377" w14:textId="77777777" w:rsidR="00EF1D77" w:rsidRPr="009D6F20" w:rsidRDefault="00EF1D77" w:rsidP="00656AF0">
            <w:pPr>
              <w:pStyle w:val="TableCentre"/>
              <w:spacing w:after="40"/>
              <w:cnfStyle w:val="000000000000" w:firstRow="0" w:lastRow="0" w:firstColumn="0" w:lastColumn="0" w:oddVBand="0" w:evenVBand="0" w:oddHBand="0" w:evenHBand="0" w:firstRowFirstColumn="0" w:firstRowLastColumn="0" w:lastRowFirstColumn="0" w:lastRowLastColumn="0"/>
              <w:rPr>
                <w:sz w:val="18"/>
                <w:lang w:val="en-US"/>
              </w:rPr>
            </w:pPr>
            <w:r w:rsidRPr="009D6F20">
              <w:rPr>
                <w:sz w:val="18"/>
                <w:lang w:val="en-US"/>
              </w:rPr>
              <w:t>2009 IRP</w:t>
            </w:r>
            <w:r w:rsidRPr="009D6F20">
              <w:rPr>
                <w:rStyle w:val="FootnoteReference"/>
                <w:rFonts w:cs="Arial"/>
                <w:sz w:val="18"/>
                <w:szCs w:val="20"/>
                <w:lang w:val="en-US"/>
              </w:rPr>
              <w:footnoteReference w:id="14"/>
            </w:r>
          </w:p>
        </w:tc>
        <w:tc>
          <w:tcPr>
            <w:tcW w:w="1348" w:type="dxa"/>
          </w:tcPr>
          <w:p w14:paraId="5121B8E2" w14:textId="77777777" w:rsidR="00EF1D77" w:rsidRPr="009D6F20" w:rsidRDefault="00EF1D77" w:rsidP="00656AF0">
            <w:pPr>
              <w:pStyle w:val="TableCentre"/>
              <w:spacing w:after="40"/>
              <w:cnfStyle w:val="000000000000" w:firstRow="0" w:lastRow="0" w:firstColumn="0" w:lastColumn="0" w:oddVBand="0" w:evenVBand="0" w:oddHBand="0" w:evenHBand="0" w:firstRowFirstColumn="0" w:firstRowLastColumn="0" w:lastRowFirstColumn="0" w:lastRowLastColumn="0"/>
              <w:rPr>
                <w:sz w:val="18"/>
                <w:lang w:val="en-US"/>
              </w:rPr>
            </w:pPr>
            <w:r w:rsidRPr="009D6F20">
              <w:rPr>
                <w:sz w:val="18"/>
                <w:lang w:val="en-US"/>
              </w:rPr>
              <w:t>2011 IRP</w:t>
            </w:r>
            <w:r w:rsidRPr="009D6F20">
              <w:rPr>
                <w:rStyle w:val="FootnoteReference"/>
                <w:rFonts w:cs="Arial"/>
                <w:sz w:val="18"/>
                <w:szCs w:val="20"/>
                <w:lang w:val="en-US"/>
              </w:rPr>
              <w:footnoteReference w:id="15"/>
            </w:r>
          </w:p>
        </w:tc>
      </w:tr>
    </w:tbl>
    <w:p w14:paraId="49998E40" w14:textId="77777777" w:rsidR="00EF1D77" w:rsidRPr="00F960B1" w:rsidRDefault="00EF1D77" w:rsidP="00EF1D77">
      <w:pPr>
        <w:spacing w:before="120"/>
        <w:rPr>
          <w:sz w:val="20"/>
          <w:lang w:val="en-US"/>
        </w:rPr>
      </w:pPr>
      <w:r w:rsidRPr="00F960B1">
        <w:rPr>
          <w:sz w:val="20"/>
          <w:lang w:val="en-US"/>
        </w:rPr>
        <w:t>(</w:t>
      </w:r>
      <w:r w:rsidRPr="00DC537D">
        <w:rPr>
          <w:b/>
          <w:sz w:val="20"/>
          <w:lang w:val="en-US"/>
        </w:rPr>
        <w:t>IRP</w:t>
      </w:r>
      <w:r w:rsidRPr="00F960B1">
        <w:rPr>
          <w:sz w:val="20"/>
          <w:lang w:val="en-US"/>
        </w:rPr>
        <w:t xml:space="preserve">: Integrated Resource Plan) </w:t>
      </w:r>
    </w:p>
    <w:p w14:paraId="22F30644" w14:textId="77777777" w:rsidR="00EF1D77" w:rsidRDefault="00EF1D77" w:rsidP="00EF1D77">
      <w:pPr>
        <w:rPr>
          <w:lang w:val="en-US"/>
        </w:rPr>
      </w:pPr>
      <w:r>
        <w:rPr>
          <w:lang w:val="en-US"/>
        </w:rPr>
        <w:t>There are currently no common NERC standards or requirements for PRM. NERC and its regional entities only strongly recommend PRM, but do not mandate it. Resource adequacy metrics and methodologies for PRM by NERC regional reliability councils are summarized in Table 1-2</w:t>
      </w:r>
      <w:r>
        <w:rPr>
          <w:rStyle w:val="FootnoteReference"/>
          <w:lang w:val="en-US"/>
        </w:rPr>
        <w:footnoteReference w:id="16"/>
      </w:r>
      <w:r>
        <w:rPr>
          <w:lang w:val="en-US"/>
        </w:rPr>
        <w:t xml:space="preserve">. </w:t>
      </w:r>
    </w:p>
    <w:p w14:paraId="60443073" w14:textId="77777777" w:rsidR="00EF1D77" w:rsidRDefault="00EF1D77" w:rsidP="00EF1D77">
      <w:pPr>
        <w:pStyle w:val="TableHeading"/>
      </w:pPr>
      <w:bookmarkStart w:id="7" w:name="_Toc421190628"/>
      <w:r>
        <w:t>Table 1-2:  NERC’s Regional Metrics and Methods for PRM</w:t>
      </w:r>
      <w:bookmarkEnd w:id="7"/>
    </w:p>
    <w:tbl>
      <w:tblPr>
        <w:tblStyle w:val="LightList-Accent11"/>
        <w:tblW w:w="10740" w:type="dxa"/>
        <w:tblLayout w:type="fixed"/>
        <w:tblLook w:val="04A0" w:firstRow="1" w:lastRow="0" w:firstColumn="1" w:lastColumn="0" w:noHBand="0" w:noVBand="1"/>
      </w:tblPr>
      <w:tblGrid>
        <w:gridCol w:w="1384"/>
        <w:gridCol w:w="1002"/>
        <w:gridCol w:w="1194"/>
        <w:gridCol w:w="1193"/>
        <w:gridCol w:w="1193"/>
        <w:gridCol w:w="1194"/>
        <w:gridCol w:w="1193"/>
        <w:gridCol w:w="1193"/>
        <w:gridCol w:w="1194"/>
      </w:tblGrid>
      <w:tr w:rsidR="00EF1D77" w:rsidRPr="00E24C3D" w14:paraId="0028E030" w14:textId="77777777" w:rsidTr="00656AF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84" w:type="dxa"/>
          </w:tcPr>
          <w:p w14:paraId="33038C23" w14:textId="77777777" w:rsidR="00EF1D77" w:rsidRDefault="00EF1D77" w:rsidP="00656AF0">
            <w:pPr>
              <w:pStyle w:val="Table1"/>
              <w:rPr>
                <w:lang w:val="en-US"/>
              </w:rPr>
            </w:pPr>
          </w:p>
        </w:tc>
        <w:tc>
          <w:tcPr>
            <w:tcW w:w="1002" w:type="dxa"/>
          </w:tcPr>
          <w:p w14:paraId="2A23E4D2" w14:textId="77777777" w:rsidR="00EF1D77" w:rsidRDefault="00EF1D77" w:rsidP="00656AF0">
            <w:pPr>
              <w:pStyle w:val="Table1"/>
              <w:cnfStyle w:val="100000000000" w:firstRow="1" w:lastRow="0" w:firstColumn="0" w:lastColumn="0" w:oddVBand="0" w:evenVBand="0" w:oddHBand="0" w:evenHBand="0" w:firstRowFirstColumn="0" w:firstRowLastColumn="0" w:lastRowFirstColumn="0" w:lastRowLastColumn="0"/>
              <w:rPr>
                <w:b w:val="0"/>
                <w:bCs w:val="0"/>
                <w:lang w:val="en-US"/>
              </w:rPr>
            </w:pPr>
            <w:r w:rsidRPr="00E24C3D">
              <w:rPr>
                <w:lang w:val="en-US"/>
              </w:rPr>
              <w:t>WECC</w:t>
            </w:r>
          </w:p>
        </w:tc>
        <w:tc>
          <w:tcPr>
            <w:tcW w:w="1194" w:type="dxa"/>
          </w:tcPr>
          <w:p w14:paraId="3E0E186B" w14:textId="77777777" w:rsidR="00EF1D77" w:rsidRDefault="00EF1D77" w:rsidP="00656AF0">
            <w:pPr>
              <w:pStyle w:val="Table1"/>
              <w:cnfStyle w:val="100000000000" w:firstRow="1" w:lastRow="0" w:firstColumn="0" w:lastColumn="0" w:oddVBand="0" w:evenVBand="0" w:oddHBand="0" w:evenHBand="0" w:firstRowFirstColumn="0" w:firstRowLastColumn="0" w:lastRowFirstColumn="0" w:lastRowLastColumn="0"/>
              <w:rPr>
                <w:b w:val="0"/>
                <w:bCs w:val="0"/>
                <w:lang w:val="en-US"/>
              </w:rPr>
            </w:pPr>
            <w:r w:rsidRPr="00E24C3D">
              <w:rPr>
                <w:lang w:val="en-US"/>
              </w:rPr>
              <w:t>MRO</w:t>
            </w:r>
            <w:r w:rsidRPr="00E24C3D">
              <w:rPr>
                <w:vertAlign w:val="superscript"/>
                <w:lang w:val="en-US"/>
              </w:rPr>
              <w:t>£</w:t>
            </w:r>
          </w:p>
        </w:tc>
        <w:tc>
          <w:tcPr>
            <w:tcW w:w="1193" w:type="dxa"/>
          </w:tcPr>
          <w:p w14:paraId="3DCB8954" w14:textId="77777777" w:rsidR="00EF1D77" w:rsidRDefault="00EF1D77" w:rsidP="00656AF0">
            <w:pPr>
              <w:pStyle w:val="Table1"/>
              <w:cnfStyle w:val="100000000000" w:firstRow="1" w:lastRow="0" w:firstColumn="0" w:lastColumn="0" w:oddVBand="0" w:evenVBand="0" w:oddHBand="0" w:evenHBand="0" w:firstRowFirstColumn="0" w:firstRowLastColumn="0" w:lastRowFirstColumn="0" w:lastRowLastColumn="0"/>
              <w:rPr>
                <w:b w:val="0"/>
                <w:bCs w:val="0"/>
                <w:lang w:val="en-US"/>
              </w:rPr>
            </w:pPr>
            <w:r w:rsidRPr="00E24C3D">
              <w:rPr>
                <w:lang w:val="en-US"/>
              </w:rPr>
              <w:t>SPP</w:t>
            </w:r>
          </w:p>
        </w:tc>
        <w:tc>
          <w:tcPr>
            <w:tcW w:w="1193" w:type="dxa"/>
          </w:tcPr>
          <w:p w14:paraId="446027CB" w14:textId="77777777" w:rsidR="00EF1D77" w:rsidRDefault="00EF1D77" w:rsidP="00656AF0">
            <w:pPr>
              <w:pStyle w:val="Table1"/>
              <w:cnfStyle w:val="100000000000" w:firstRow="1" w:lastRow="0" w:firstColumn="0" w:lastColumn="0" w:oddVBand="0" w:evenVBand="0" w:oddHBand="0" w:evenHBand="0" w:firstRowFirstColumn="0" w:firstRowLastColumn="0" w:lastRowFirstColumn="0" w:lastRowLastColumn="0"/>
              <w:rPr>
                <w:b w:val="0"/>
                <w:bCs w:val="0"/>
                <w:lang w:val="en-US"/>
              </w:rPr>
            </w:pPr>
            <w:r w:rsidRPr="00E24C3D">
              <w:rPr>
                <w:lang w:val="en-US"/>
              </w:rPr>
              <w:t>ERCOT</w:t>
            </w:r>
          </w:p>
        </w:tc>
        <w:tc>
          <w:tcPr>
            <w:tcW w:w="1194" w:type="dxa"/>
          </w:tcPr>
          <w:p w14:paraId="37E36D24" w14:textId="77777777" w:rsidR="00EF1D77" w:rsidRDefault="00EF1D77" w:rsidP="00656AF0">
            <w:pPr>
              <w:pStyle w:val="Table1"/>
              <w:cnfStyle w:val="100000000000" w:firstRow="1" w:lastRow="0" w:firstColumn="0" w:lastColumn="0" w:oddVBand="0" w:evenVBand="0" w:oddHBand="0" w:evenHBand="0" w:firstRowFirstColumn="0" w:firstRowLastColumn="0" w:lastRowFirstColumn="0" w:lastRowLastColumn="0"/>
              <w:rPr>
                <w:b w:val="0"/>
                <w:bCs w:val="0"/>
                <w:lang w:val="en-US"/>
              </w:rPr>
            </w:pPr>
            <w:r w:rsidRPr="00E24C3D">
              <w:rPr>
                <w:lang w:val="en-US"/>
              </w:rPr>
              <w:t>RFC*</w:t>
            </w:r>
          </w:p>
        </w:tc>
        <w:tc>
          <w:tcPr>
            <w:tcW w:w="1193" w:type="dxa"/>
          </w:tcPr>
          <w:p w14:paraId="2ADEC21D" w14:textId="77777777" w:rsidR="00EF1D77" w:rsidRDefault="00EF1D77" w:rsidP="00656AF0">
            <w:pPr>
              <w:pStyle w:val="Table1"/>
              <w:cnfStyle w:val="100000000000" w:firstRow="1" w:lastRow="0" w:firstColumn="0" w:lastColumn="0" w:oddVBand="0" w:evenVBand="0" w:oddHBand="0" w:evenHBand="0" w:firstRowFirstColumn="0" w:firstRowLastColumn="0" w:lastRowFirstColumn="0" w:lastRowLastColumn="0"/>
              <w:rPr>
                <w:b w:val="0"/>
                <w:bCs w:val="0"/>
                <w:lang w:val="en-US"/>
              </w:rPr>
            </w:pPr>
            <w:r w:rsidRPr="00E24C3D">
              <w:rPr>
                <w:lang w:val="en-US"/>
              </w:rPr>
              <w:t>FRCC</w:t>
            </w:r>
          </w:p>
        </w:tc>
        <w:tc>
          <w:tcPr>
            <w:tcW w:w="1193" w:type="dxa"/>
          </w:tcPr>
          <w:p w14:paraId="3EC9A9AD" w14:textId="77777777" w:rsidR="00EF1D77" w:rsidRDefault="00EF1D77" w:rsidP="00656AF0">
            <w:pPr>
              <w:pStyle w:val="Table1"/>
              <w:cnfStyle w:val="100000000000" w:firstRow="1" w:lastRow="0" w:firstColumn="0" w:lastColumn="0" w:oddVBand="0" w:evenVBand="0" w:oddHBand="0" w:evenHBand="0" w:firstRowFirstColumn="0" w:firstRowLastColumn="0" w:lastRowFirstColumn="0" w:lastRowLastColumn="0"/>
              <w:rPr>
                <w:b w:val="0"/>
                <w:bCs w:val="0"/>
                <w:lang w:val="en-US"/>
              </w:rPr>
            </w:pPr>
            <w:r w:rsidRPr="00E24C3D">
              <w:rPr>
                <w:lang w:val="en-US"/>
              </w:rPr>
              <w:t>NPCC</w:t>
            </w:r>
          </w:p>
        </w:tc>
        <w:tc>
          <w:tcPr>
            <w:tcW w:w="1194" w:type="dxa"/>
          </w:tcPr>
          <w:p w14:paraId="597F3534" w14:textId="77777777" w:rsidR="00EF1D77" w:rsidRDefault="00EF1D77" w:rsidP="00656AF0">
            <w:pPr>
              <w:pStyle w:val="Table1"/>
              <w:cnfStyle w:val="100000000000" w:firstRow="1" w:lastRow="0" w:firstColumn="0" w:lastColumn="0" w:oddVBand="0" w:evenVBand="0" w:oddHBand="0" w:evenHBand="0" w:firstRowFirstColumn="0" w:firstRowLastColumn="0" w:lastRowFirstColumn="0" w:lastRowLastColumn="0"/>
              <w:rPr>
                <w:b w:val="0"/>
                <w:bCs w:val="0"/>
                <w:lang w:val="en-US"/>
              </w:rPr>
            </w:pPr>
            <w:r w:rsidRPr="00E24C3D">
              <w:rPr>
                <w:lang w:val="en-US"/>
              </w:rPr>
              <w:t>SERC</w:t>
            </w:r>
          </w:p>
        </w:tc>
      </w:tr>
      <w:tr w:rsidR="00EF1D77" w:rsidRPr="00E24C3D" w14:paraId="12D24AB1" w14:textId="77777777" w:rsidTr="00656AF0">
        <w:trPr>
          <w:cnfStyle w:val="000000100000" w:firstRow="0" w:lastRow="0" w:firstColumn="0" w:lastColumn="0" w:oddVBand="0" w:evenVBand="0" w:oddHBand="1" w:evenHBand="0" w:firstRowFirstColumn="0" w:firstRowLastColumn="0" w:lastRowFirstColumn="0" w:lastRowLastColumn="0"/>
          <w:cantSplit/>
          <w:trHeight w:val="579"/>
        </w:trPr>
        <w:tc>
          <w:tcPr>
            <w:cnfStyle w:val="001000000000" w:firstRow="0" w:lastRow="0" w:firstColumn="1" w:lastColumn="0" w:oddVBand="0" w:evenVBand="0" w:oddHBand="0" w:evenHBand="0" w:firstRowFirstColumn="0" w:firstRowLastColumn="0" w:lastRowFirstColumn="0" w:lastRowLastColumn="0"/>
            <w:tcW w:w="1384" w:type="dxa"/>
          </w:tcPr>
          <w:p w14:paraId="3B2D522D" w14:textId="77777777" w:rsidR="00EF1D77" w:rsidRDefault="00EF1D77" w:rsidP="00656AF0">
            <w:pPr>
              <w:pStyle w:val="Table1"/>
              <w:rPr>
                <w:b w:val="0"/>
                <w:bCs w:val="0"/>
                <w:lang w:val="en-US"/>
              </w:rPr>
            </w:pPr>
            <w:r w:rsidRPr="00E24C3D">
              <w:rPr>
                <w:lang w:val="en-US"/>
              </w:rPr>
              <w:t>PRM Target</w:t>
            </w:r>
          </w:p>
        </w:tc>
        <w:tc>
          <w:tcPr>
            <w:tcW w:w="1002" w:type="dxa"/>
          </w:tcPr>
          <w:p w14:paraId="54B65FCA" w14:textId="77777777" w:rsidR="00EF1D77" w:rsidRDefault="00EF1D77" w:rsidP="00656AF0">
            <w:pPr>
              <w:pStyle w:val="Table1"/>
              <w:cnfStyle w:val="000000100000" w:firstRow="0" w:lastRow="0" w:firstColumn="0" w:lastColumn="0" w:oddVBand="0" w:evenVBand="0" w:oddHBand="1" w:evenHBand="0" w:firstRowFirstColumn="0" w:firstRowLastColumn="0" w:lastRowFirstColumn="0" w:lastRowLastColumn="0"/>
              <w:rPr>
                <w:lang w:val="en-US"/>
              </w:rPr>
            </w:pPr>
            <w:r w:rsidRPr="00E24C3D">
              <w:rPr>
                <w:lang w:val="en-US"/>
              </w:rPr>
              <w:t>Not Specified</w:t>
            </w:r>
          </w:p>
        </w:tc>
        <w:tc>
          <w:tcPr>
            <w:tcW w:w="1194" w:type="dxa"/>
          </w:tcPr>
          <w:p w14:paraId="7385AFA2" w14:textId="77777777" w:rsidR="00EF1D77" w:rsidRDefault="00EF1D77" w:rsidP="00656AF0">
            <w:pPr>
              <w:pStyle w:val="Table1"/>
              <w:cnfStyle w:val="000000100000" w:firstRow="0" w:lastRow="0" w:firstColumn="0" w:lastColumn="0" w:oddVBand="0" w:evenVBand="0" w:oddHBand="1" w:evenHBand="0" w:firstRowFirstColumn="0" w:firstRowLastColumn="0" w:lastRowFirstColumn="0" w:lastRowLastColumn="0"/>
              <w:rPr>
                <w:lang w:val="en-US"/>
              </w:rPr>
            </w:pPr>
            <w:r w:rsidRPr="00E24C3D">
              <w:rPr>
                <w:lang w:val="en-US"/>
              </w:rPr>
              <w:t>15%, 10% if hydro system</w:t>
            </w:r>
          </w:p>
        </w:tc>
        <w:tc>
          <w:tcPr>
            <w:tcW w:w="1193" w:type="dxa"/>
          </w:tcPr>
          <w:p w14:paraId="6AAFBF3A" w14:textId="77777777" w:rsidR="00EF1D77" w:rsidRDefault="00EF1D77" w:rsidP="00656AF0">
            <w:pPr>
              <w:pStyle w:val="Table1"/>
              <w:cnfStyle w:val="000000100000" w:firstRow="0" w:lastRow="0" w:firstColumn="0" w:lastColumn="0" w:oddVBand="0" w:evenVBand="0" w:oddHBand="1" w:evenHBand="0" w:firstRowFirstColumn="0" w:firstRowLastColumn="0" w:lastRowFirstColumn="0" w:lastRowLastColumn="0"/>
              <w:rPr>
                <w:lang w:val="en-US"/>
              </w:rPr>
            </w:pPr>
            <w:r w:rsidRPr="00E24C3D">
              <w:rPr>
                <w:lang w:val="en-US"/>
              </w:rPr>
              <w:t xml:space="preserve">12%, 9% if 75% hydro </w:t>
            </w:r>
          </w:p>
        </w:tc>
        <w:tc>
          <w:tcPr>
            <w:tcW w:w="1193" w:type="dxa"/>
          </w:tcPr>
          <w:p w14:paraId="73480B21" w14:textId="77777777" w:rsidR="00EF1D77" w:rsidRDefault="00EF1D77" w:rsidP="00656AF0">
            <w:pPr>
              <w:pStyle w:val="Table1"/>
              <w:cnfStyle w:val="000000100000" w:firstRow="0" w:lastRow="0" w:firstColumn="0" w:lastColumn="0" w:oddVBand="0" w:evenVBand="0" w:oddHBand="1" w:evenHBand="0" w:firstRowFirstColumn="0" w:firstRowLastColumn="0" w:lastRowFirstColumn="0" w:lastRowLastColumn="0"/>
              <w:rPr>
                <w:lang w:val="en-US"/>
              </w:rPr>
            </w:pPr>
            <w:r w:rsidRPr="00E24C3D">
              <w:rPr>
                <w:lang w:val="en-US"/>
              </w:rPr>
              <w:t>12.5%</w:t>
            </w:r>
          </w:p>
        </w:tc>
        <w:tc>
          <w:tcPr>
            <w:tcW w:w="1194" w:type="dxa"/>
          </w:tcPr>
          <w:p w14:paraId="2DDFE2E1" w14:textId="77777777" w:rsidR="00EF1D77" w:rsidRDefault="00EF1D77" w:rsidP="00656AF0">
            <w:pPr>
              <w:pStyle w:val="Table1"/>
              <w:cnfStyle w:val="000000100000" w:firstRow="0" w:lastRow="0" w:firstColumn="0" w:lastColumn="0" w:oddVBand="0" w:evenVBand="0" w:oddHBand="1" w:evenHBand="0" w:firstRowFirstColumn="0" w:firstRowLastColumn="0" w:lastRowFirstColumn="0" w:lastRowLastColumn="0"/>
              <w:rPr>
                <w:lang w:val="en-US"/>
              </w:rPr>
            </w:pPr>
            <w:r w:rsidRPr="00E24C3D">
              <w:rPr>
                <w:lang w:val="en-US"/>
              </w:rPr>
              <w:t>12% - 18%</w:t>
            </w:r>
          </w:p>
        </w:tc>
        <w:tc>
          <w:tcPr>
            <w:tcW w:w="1193" w:type="dxa"/>
          </w:tcPr>
          <w:p w14:paraId="010FAF2E" w14:textId="77777777" w:rsidR="00EF1D77" w:rsidRDefault="00EF1D77" w:rsidP="00656AF0">
            <w:pPr>
              <w:pStyle w:val="Table1"/>
              <w:cnfStyle w:val="000000100000" w:firstRow="0" w:lastRow="0" w:firstColumn="0" w:lastColumn="0" w:oddVBand="0" w:evenVBand="0" w:oddHBand="1" w:evenHBand="0" w:firstRowFirstColumn="0" w:firstRowLastColumn="0" w:lastRowFirstColumn="0" w:lastRowLastColumn="0"/>
              <w:rPr>
                <w:lang w:val="en-US"/>
              </w:rPr>
            </w:pPr>
            <w:r w:rsidRPr="00E24C3D">
              <w:rPr>
                <w:lang w:val="en-US"/>
              </w:rPr>
              <w:t>20% IOU, 15% others</w:t>
            </w:r>
          </w:p>
        </w:tc>
        <w:tc>
          <w:tcPr>
            <w:tcW w:w="1193" w:type="dxa"/>
          </w:tcPr>
          <w:p w14:paraId="51C0183B" w14:textId="77777777" w:rsidR="00EF1D77" w:rsidRDefault="00EF1D77" w:rsidP="00656AF0">
            <w:pPr>
              <w:pStyle w:val="Table1"/>
              <w:cnfStyle w:val="000000100000" w:firstRow="0" w:lastRow="0" w:firstColumn="0" w:lastColumn="0" w:oddVBand="0" w:evenVBand="0" w:oddHBand="1" w:evenHBand="0" w:firstRowFirstColumn="0" w:firstRowLastColumn="0" w:lastRowFirstColumn="0" w:lastRowLastColumn="0"/>
              <w:rPr>
                <w:lang w:val="en-US"/>
              </w:rPr>
            </w:pPr>
            <w:r w:rsidRPr="00E24C3D">
              <w:rPr>
                <w:lang w:val="en-US"/>
              </w:rPr>
              <w:t>20%, Loss of Largest Unit</w:t>
            </w:r>
          </w:p>
        </w:tc>
        <w:tc>
          <w:tcPr>
            <w:tcW w:w="1194" w:type="dxa"/>
          </w:tcPr>
          <w:p w14:paraId="516E62D4" w14:textId="77777777" w:rsidR="00EF1D77" w:rsidRDefault="00EF1D77" w:rsidP="00656AF0">
            <w:pPr>
              <w:pStyle w:val="Table1"/>
              <w:cnfStyle w:val="000000100000" w:firstRow="0" w:lastRow="0" w:firstColumn="0" w:lastColumn="0" w:oddVBand="0" w:evenVBand="0" w:oddHBand="1" w:evenHBand="0" w:firstRowFirstColumn="0" w:firstRowLastColumn="0" w:lastRowFirstColumn="0" w:lastRowLastColumn="0"/>
              <w:rPr>
                <w:lang w:val="en-US"/>
              </w:rPr>
            </w:pPr>
            <w:r w:rsidRPr="00E24C3D">
              <w:rPr>
                <w:lang w:val="en-US"/>
              </w:rPr>
              <w:t>10% - 15%</w:t>
            </w:r>
          </w:p>
        </w:tc>
      </w:tr>
      <w:tr w:rsidR="00EF1D77" w:rsidRPr="00E24C3D" w14:paraId="61993D1F" w14:textId="77777777" w:rsidTr="00656AF0">
        <w:trPr>
          <w:cantSplit/>
          <w:trHeight w:val="554"/>
        </w:trPr>
        <w:tc>
          <w:tcPr>
            <w:cnfStyle w:val="001000000000" w:firstRow="0" w:lastRow="0" w:firstColumn="1" w:lastColumn="0" w:oddVBand="0" w:evenVBand="0" w:oddHBand="0" w:evenHBand="0" w:firstRowFirstColumn="0" w:firstRowLastColumn="0" w:lastRowFirstColumn="0" w:lastRowLastColumn="0"/>
            <w:tcW w:w="1384" w:type="dxa"/>
          </w:tcPr>
          <w:p w14:paraId="28881C74" w14:textId="77777777" w:rsidR="00EF1D77" w:rsidRDefault="00EF1D77" w:rsidP="00656AF0">
            <w:pPr>
              <w:pStyle w:val="Table1"/>
              <w:rPr>
                <w:b w:val="0"/>
                <w:bCs w:val="0"/>
                <w:lang w:val="en-US"/>
              </w:rPr>
            </w:pPr>
            <w:r w:rsidRPr="00E24C3D">
              <w:rPr>
                <w:lang w:val="en-US"/>
              </w:rPr>
              <w:t>Regional Resource Adequacy Criteria</w:t>
            </w:r>
          </w:p>
        </w:tc>
        <w:tc>
          <w:tcPr>
            <w:tcW w:w="1002" w:type="dxa"/>
          </w:tcPr>
          <w:p w14:paraId="08B851CE" w14:textId="77777777" w:rsidR="00EF1D77" w:rsidRDefault="00EF1D77" w:rsidP="00656AF0">
            <w:pPr>
              <w:pStyle w:val="Table1"/>
              <w:cnfStyle w:val="000000000000" w:firstRow="0" w:lastRow="0" w:firstColumn="0" w:lastColumn="0" w:oddVBand="0" w:evenVBand="0" w:oddHBand="0" w:evenHBand="0" w:firstRowFirstColumn="0" w:firstRowLastColumn="0" w:lastRowFirstColumn="0" w:lastRowLastColumn="0"/>
              <w:rPr>
                <w:lang w:val="en-US"/>
              </w:rPr>
            </w:pPr>
            <w:r w:rsidRPr="00E24C3D">
              <w:rPr>
                <w:lang w:val="en-US"/>
              </w:rPr>
              <w:t>Not Specified</w:t>
            </w:r>
          </w:p>
        </w:tc>
        <w:tc>
          <w:tcPr>
            <w:tcW w:w="1194" w:type="dxa"/>
          </w:tcPr>
          <w:p w14:paraId="22270023" w14:textId="77777777" w:rsidR="00EF1D77" w:rsidRDefault="00EF1D77" w:rsidP="00656AF0">
            <w:pPr>
              <w:pStyle w:val="Table1"/>
              <w:cnfStyle w:val="000000000000" w:firstRow="0" w:lastRow="0" w:firstColumn="0" w:lastColumn="0" w:oddVBand="0" w:evenVBand="0" w:oddHBand="0" w:evenHBand="0" w:firstRowFirstColumn="0" w:firstRowLastColumn="0" w:lastRowFirstColumn="0" w:lastRowLastColumn="0"/>
              <w:rPr>
                <w:lang w:val="en-US"/>
              </w:rPr>
            </w:pPr>
            <w:r w:rsidRPr="00E24C3D">
              <w:rPr>
                <w:lang w:val="en-US"/>
              </w:rPr>
              <w:t>1 day -in-10 yr LOLE</w:t>
            </w:r>
            <w:r w:rsidRPr="00E24C3D">
              <w:rPr>
                <w:vertAlign w:val="superscript"/>
                <w:lang w:val="en-US"/>
              </w:rPr>
              <w:t>#</w:t>
            </w:r>
          </w:p>
        </w:tc>
        <w:tc>
          <w:tcPr>
            <w:tcW w:w="1193" w:type="dxa"/>
          </w:tcPr>
          <w:p w14:paraId="4D3D1050" w14:textId="77777777" w:rsidR="00EF1D77" w:rsidRDefault="00EF1D77" w:rsidP="00656AF0">
            <w:pPr>
              <w:pStyle w:val="Table1"/>
              <w:cnfStyle w:val="000000000000" w:firstRow="0" w:lastRow="0" w:firstColumn="0" w:lastColumn="0" w:oddVBand="0" w:evenVBand="0" w:oddHBand="0" w:evenHBand="0" w:firstRowFirstColumn="0" w:firstRowLastColumn="0" w:lastRowFirstColumn="0" w:lastRowLastColumn="0"/>
              <w:rPr>
                <w:lang w:val="en-US"/>
              </w:rPr>
            </w:pPr>
            <w:r w:rsidRPr="00E24C3D">
              <w:rPr>
                <w:lang w:val="en-US"/>
              </w:rPr>
              <w:t>1 day -in-10 yr LOLE</w:t>
            </w:r>
          </w:p>
        </w:tc>
        <w:tc>
          <w:tcPr>
            <w:tcW w:w="1193" w:type="dxa"/>
          </w:tcPr>
          <w:p w14:paraId="3AA79F7C" w14:textId="77777777" w:rsidR="00EF1D77" w:rsidRDefault="00EF1D77" w:rsidP="00656AF0">
            <w:pPr>
              <w:pStyle w:val="Table1"/>
              <w:cnfStyle w:val="000000000000" w:firstRow="0" w:lastRow="0" w:firstColumn="0" w:lastColumn="0" w:oddVBand="0" w:evenVBand="0" w:oddHBand="0" w:evenHBand="0" w:firstRowFirstColumn="0" w:firstRowLastColumn="0" w:lastRowFirstColumn="0" w:lastRowLastColumn="0"/>
              <w:rPr>
                <w:lang w:val="en-US"/>
              </w:rPr>
            </w:pPr>
            <w:r w:rsidRPr="00E24C3D">
              <w:rPr>
                <w:lang w:val="en-US"/>
              </w:rPr>
              <w:t>1 event -in-10 yr LOLP</w:t>
            </w:r>
            <w:r w:rsidRPr="00E24C3D">
              <w:rPr>
                <w:vertAlign w:val="superscript"/>
                <w:lang w:val="en-US"/>
              </w:rPr>
              <w:t>#</w:t>
            </w:r>
          </w:p>
        </w:tc>
        <w:tc>
          <w:tcPr>
            <w:tcW w:w="1194" w:type="dxa"/>
          </w:tcPr>
          <w:p w14:paraId="4B9E2A65" w14:textId="77777777" w:rsidR="00EF1D77" w:rsidRDefault="00EF1D77" w:rsidP="00656AF0">
            <w:pPr>
              <w:pStyle w:val="Table1"/>
              <w:cnfStyle w:val="000000000000" w:firstRow="0" w:lastRow="0" w:firstColumn="0" w:lastColumn="0" w:oddVBand="0" w:evenVBand="0" w:oddHBand="0" w:evenHBand="0" w:firstRowFirstColumn="0" w:firstRowLastColumn="0" w:lastRowFirstColumn="0" w:lastRowLastColumn="0"/>
              <w:rPr>
                <w:lang w:val="en-US"/>
              </w:rPr>
            </w:pPr>
            <w:r w:rsidRPr="00E24C3D">
              <w:rPr>
                <w:lang w:val="en-US"/>
              </w:rPr>
              <w:t>1 day -in-10 yr LOLE</w:t>
            </w:r>
          </w:p>
        </w:tc>
        <w:tc>
          <w:tcPr>
            <w:tcW w:w="1193" w:type="dxa"/>
          </w:tcPr>
          <w:p w14:paraId="0DCD3013" w14:textId="77777777" w:rsidR="00EF1D77" w:rsidRDefault="00EF1D77" w:rsidP="00656AF0">
            <w:pPr>
              <w:pStyle w:val="Table1"/>
              <w:cnfStyle w:val="000000000000" w:firstRow="0" w:lastRow="0" w:firstColumn="0" w:lastColumn="0" w:oddVBand="0" w:evenVBand="0" w:oddHBand="0" w:evenHBand="0" w:firstRowFirstColumn="0" w:firstRowLastColumn="0" w:lastRowFirstColumn="0" w:lastRowLastColumn="0"/>
              <w:rPr>
                <w:lang w:val="en-US"/>
              </w:rPr>
            </w:pPr>
            <w:r w:rsidRPr="00E24C3D">
              <w:rPr>
                <w:lang w:val="en-US"/>
              </w:rPr>
              <w:t>1 day -in-10 yr LOLE</w:t>
            </w:r>
          </w:p>
        </w:tc>
        <w:tc>
          <w:tcPr>
            <w:tcW w:w="1193" w:type="dxa"/>
          </w:tcPr>
          <w:p w14:paraId="13B9F20A" w14:textId="77777777" w:rsidR="00EF1D77" w:rsidRDefault="00EF1D77" w:rsidP="00656AF0">
            <w:pPr>
              <w:pStyle w:val="Table1"/>
              <w:cnfStyle w:val="000000000000" w:firstRow="0" w:lastRow="0" w:firstColumn="0" w:lastColumn="0" w:oddVBand="0" w:evenVBand="0" w:oddHBand="0" w:evenHBand="0" w:firstRowFirstColumn="0" w:firstRowLastColumn="0" w:lastRowFirstColumn="0" w:lastRowLastColumn="0"/>
              <w:rPr>
                <w:lang w:val="en-US"/>
              </w:rPr>
            </w:pPr>
            <w:r w:rsidRPr="00E24C3D">
              <w:rPr>
                <w:lang w:val="en-US"/>
              </w:rPr>
              <w:t>1 day -in-10 yr LOLE</w:t>
            </w:r>
          </w:p>
        </w:tc>
        <w:tc>
          <w:tcPr>
            <w:tcW w:w="1194" w:type="dxa"/>
          </w:tcPr>
          <w:p w14:paraId="5F8738C1" w14:textId="77777777" w:rsidR="00EF1D77" w:rsidRDefault="00EF1D77" w:rsidP="00656AF0">
            <w:pPr>
              <w:pStyle w:val="Table1"/>
              <w:cnfStyle w:val="000000000000" w:firstRow="0" w:lastRow="0" w:firstColumn="0" w:lastColumn="0" w:oddVBand="0" w:evenVBand="0" w:oddHBand="0" w:evenHBand="0" w:firstRowFirstColumn="0" w:firstRowLastColumn="0" w:lastRowFirstColumn="0" w:lastRowLastColumn="0"/>
              <w:rPr>
                <w:lang w:val="en-US"/>
              </w:rPr>
            </w:pPr>
            <w:r w:rsidRPr="00E24C3D">
              <w:rPr>
                <w:lang w:val="en-US"/>
              </w:rPr>
              <w:t>1 day -in-10 yr LOL</w:t>
            </w:r>
            <w:r>
              <w:rPr>
                <w:lang w:val="en-US"/>
              </w:rPr>
              <w:t>H</w:t>
            </w:r>
          </w:p>
        </w:tc>
      </w:tr>
      <w:tr w:rsidR="00EF1D77" w:rsidRPr="00E24C3D" w14:paraId="242FD279" w14:textId="77777777" w:rsidTr="00656AF0">
        <w:trPr>
          <w:cnfStyle w:val="000000100000" w:firstRow="0" w:lastRow="0" w:firstColumn="0" w:lastColumn="0" w:oddVBand="0" w:evenVBand="0" w:oddHBand="1" w:evenHBand="0" w:firstRowFirstColumn="0" w:firstRowLastColumn="0" w:lastRowFirstColumn="0" w:lastRowLastColumn="0"/>
          <w:cantSplit/>
          <w:trHeight w:val="423"/>
        </w:trPr>
        <w:tc>
          <w:tcPr>
            <w:cnfStyle w:val="001000000000" w:firstRow="0" w:lastRow="0" w:firstColumn="1" w:lastColumn="0" w:oddVBand="0" w:evenVBand="0" w:oddHBand="0" w:evenHBand="0" w:firstRowFirstColumn="0" w:firstRowLastColumn="0" w:lastRowFirstColumn="0" w:lastRowLastColumn="0"/>
            <w:tcW w:w="1384" w:type="dxa"/>
          </w:tcPr>
          <w:p w14:paraId="4ECAB583" w14:textId="77777777" w:rsidR="00EF1D77" w:rsidRDefault="00EF1D77" w:rsidP="00656AF0">
            <w:pPr>
              <w:pStyle w:val="Table1"/>
              <w:rPr>
                <w:b w:val="0"/>
                <w:bCs w:val="0"/>
                <w:lang w:val="en-US"/>
              </w:rPr>
            </w:pPr>
            <w:r w:rsidRPr="00E24C3D">
              <w:rPr>
                <w:lang w:val="en-US"/>
              </w:rPr>
              <w:t>Methodology</w:t>
            </w:r>
          </w:p>
        </w:tc>
        <w:tc>
          <w:tcPr>
            <w:tcW w:w="1002" w:type="dxa"/>
          </w:tcPr>
          <w:p w14:paraId="51A247F8" w14:textId="77777777" w:rsidR="00EF1D77" w:rsidRDefault="00EF1D77" w:rsidP="00656AF0">
            <w:pPr>
              <w:pStyle w:val="Table1"/>
              <w:cnfStyle w:val="000000100000" w:firstRow="0" w:lastRow="0" w:firstColumn="0" w:lastColumn="0" w:oddVBand="0" w:evenVBand="0" w:oddHBand="1" w:evenHBand="0" w:firstRowFirstColumn="0" w:firstRowLastColumn="0" w:lastRowFirstColumn="0" w:lastRowLastColumn="0"/>
              <w:rPr>
                <w:lang w:val="en-US"/>
              </w:rPr>
            </w:pPr>
            <w:r w:rsidRPr="00E24C3D">
              <w:rPr>
                <w:lang w:val="en-US"/>
              </w:rPr>
              <w:t>Building Block</w:t>
            </w:r>
          </w:p>
        </w:tc>
        <w:tc>
          <w:tcPr>
            <w:tcW w:w="1194" w:type="dxa"/>
          </w:tcPr>
          <w:p w14:paraId="59AFC5B7" w14:textId="77777777" w:rsidR="00EF1D77" w:rsidRPr="00E24C3D" w:rsidRDefault="00EF1D77" w:rsidP="00656AF0">
            <w:pPr>
              <w:pStyle w:val="Table1"/>
              <w:cnfStyle w:val="000000100000" w:firstRow="0" w:lastRow="0" w:firstColumn="0" w:lastColumn="0" w:oddVBand="0" w:evenVBand="0" w:oddHBand="1" w:evenHBand="0" w:firstRowFirstColumn="0" w:firstRowLastColumn="0" w:lastRowFirstColumn="0" w:lastRowLastColumn="0"/>
              <w:rPr>
                <w:lang w:val="en-US"/>
              </w:rPr>
            </w:pPr>
            <w:r w:rsidRPr="00E24C3D">
              <w:rPr>
                <w:lang w:val="en-US"/>
              </w:rPr>
              <w:t>Probabilistic LOLE</w:t>
            </w:r>
          </w:p>
        </w:tc>
        <w:tc>
          <w:tcPr>
            <w:tcW w:w="1193" w:type="dxa"/>
          </w:tcPr>
          <w:p w14:paraId="4740E867" w14:textId="77777777" w:rsidR="00EF1D77" w:rsidRPr="00E24C3D" w:rsidRDefault="00EF1D77" w:rsidP="00656AF0">
            <w:pPr>
              <w:pStyle w:val="Table1"/>
              <w:cnfStyle w:val="000000100000" w:firstRow="0" w:lastRow="0" w:firstColumn="0" w:lastColumn="0" w:oddVBand="0" w:evenVBand="0" w:oddHBand="1" w:evenHBand="0" w:firstRowFirstColumn="0" w:firstRowLastColumn="0" w:lastRowFirstColumn="0" w:lastRowLastColumn="0"/>
              <w:rPr>
                <w:lang w:val="en-US"/>
              </w:rPr>
            </w:pPr>
            <w:r w:rsidRPr="00E24C3D">
              <w:rPr>
                <w:lang w:val="en-US"/>
              </w:rPr>
              <w:t>Probabilistic LOLE</w:t>
            </w:r>
          </w:p>
        </w:tc>
        <w:tc>
          <w:tcPr>
            <w:tcW w:w="1193" w:type="dxa"/>
          </w:tcPr>
          <w:p w14:paraId="202098FA" w14:textId="77777777" w:rsidR="00EF1D77" w:rsidRPr="00E24C3D" w:rsidRDefault="00EF1D77" w:rsidP="00656AF0">
            <w:pPr>
              <w:pStyle w:val="Table1"/>
              <w:cnfStyle w:val="000000100000" w:firstRow="0" w:lastRow="0" w:firstColumn="0" w:lastColumn="0" w:oddVBand="0" w:evenVBand="0" w:oddHBand="1" w:evenHBand="0" w:firstRowFirstColumn="0" w:firstRowLastColumn="0" w:lastRowFirstColumn="0" w:lastRowLastColumn="0"/>
              <w:rPr>
                <w:lang w:val="en-US"/>
              </w:rPr>
            </w:pPr>
            <w:r w:rsidRPr="00E24C3D">
              <w:rPr>
                <w:lang w:val="en-US"/>
              </w:rPr>
              <w:t>Probabilistic LOLP</w:t>
            </w:r>
          </w:p>
        </w:tc>
        <w:tc>
          <w:tcPr>
            <w:tcW w:w="1194" w:type="dxa"/>
          </w:tcPr>
          <w:p w14:paraId="1D997555" w14:textId="77777777" w:rsidR="00EF1D77" w:rsidRPr="00E24C3D" w:rsidRDefault="00EF1D77" w:rsidP="00656AF0">
            <w:pPr>
              <w:pStyle w:val="Table1"/>
              <w:cnfStyle w:val="000000100000" w:firstRow="0" w:lastRow="0" w:firstColumn="0" w:lastColumn="0" w:oddVBand="0" w:evenVBand="0" w:oddHBand="1" w:evenHBand="0" w:firstRowFirstColumn="0" w:firstRowLastColumn="0" w:lastRowFirstColumn="0" w:lastRowLastColumn="0"/>
              <w:rPr>
                <w:lang w:val="en-US"/>
              </w:rPr>
            </w:pPr>
            <w:r w:rsidRPr="00E24C3D">
              <w:rPr>
                <w:lang w:val="en-US"/>
              </w:rPr>
              <w:t>Probabilistic LOLE</w:t>
            </w:r>
          </w:p>
        </w:tc>
        <w:tc>
          <w:tcPr>
            <w:tcW w:w="1193" w:type="dxa"/>
          </w:tcPr>
          <w:p w14:paraId="2336EE6F" w14:textId="77777777" w:rsidR="00EF1D77" w:rsidRPr="00E24C3D" w:rsidRDefault="00EF1D77" w:rsidP="00656AF0">
            <w:pPr>
              <w:pStyle w:val="Table1"/>
              <w:cnfStyle w:val="000000100000" w:firstRow="0" w:lastRow="0" w:firstColumn="0" w:lastColumn="0" w:oddVBand="0" w:evenVBand="0" w:oddHBand="1" w:evenHBand="0" w:firstRowFirstColumn="0" w:firstRowLastColumn="0" w:lastRowFirstColumn="0" w:lastRowLastColumn="0"/>
              <w:rPr>
                <w:lang w:val="en-US"/>
              </w:rPr>
            </w:pPr>
            <w:r w:rsidRPr="00E24C3D">
              <w:rPr>
                <w:lang w:val="en-US"/>
              </w:rPr>
              <w:t>Probabilistic LOLE</w:t>
            </w:r>
          </w:p>
        </w:tc>
        <w:tc>
          <w:tcPr>
            <w:tcW w:w="1193" w:type="dxa"/>
          </w:tcPr>
          <w:p w14:paraId="0D65E6C7" w14:textId="77777777" w:rsidR="00EF1D77" w:rsidRPr="00E24C3D" w:rsidRDefault="00EF1D77" w:rsidP="00656AF0">
            <w:pPr>
              <w:pStyle w:val="Table1"/>
              <w:cnfStyle w:val="000000100000" w:firstRow="0" w:lastRow="0" w:firstColumn="0" w:lastColumn="0" w:oddVBand="0" w:evenVBand="0" w:oddHBand="1" w:evenHBand="0" w:firstRowFirstColumn="0" w:firstRowLastColumn="0" w:lastRowFirstColumn="0" w:lastRowLastColumn="0"/>
              <w:rPr>
                <w:lang w:val="en-US"/>
              </w:rPr>
            </w:pPr>
            <w:r w:rsidRPr="00E24C3D">
              <w:rPr>
                <w:lang w:val="en-US"/>
              </w:rPr>
              <w:t>Probabilistic LOLE</w:t>
            </w:r>
          </w:p>
        </w:tc>
        <w:tc>
          <w:tcPr>
            <w:tcW w:w="1194" w:type="dxa"/>
          </w:tcPr>
          <w:p w14:paraId="19531A97" w14:textId="77777777" w:rsidR="00EF1D77" w:rsidRDefault="00EF1D77" w:rsidP="00656AF0">
            <w:pPr>
              <w:pStyle w:val="Table1"/>
              <w:cnfStyle w:val="000000100000" w:firstRow="0" w:lastRow="0" w:firstColumn="0" w:lastColumn="0" w:oddVBand="0" w:evenVBand="0" w:oddHBand="1" w:evenHBand="0" w:firstRowFirstColumn="0" w:firstRowLastColumn="0" w:lastRowFirstColumn="0" w:lastRowLastColumn="0"/>
              <w:rPr>
                <w:lang w:val="en-US"/>
              </w:rPr>
            </w:pPr>
            <w:r>
              <w:rPr>
                <w:lang w:val="en-US"/>
              </w:rPr>
              <w:t>NERC Reference</w:t>
            </w:r>
            <w:r w:rsidRPr="00AA55C2">
              <w:rPr>
                <w:vertAlign w:val="superscript"/>
                <w:lang w:val="en-US"/>
              </w:rPr>
              <w:t>&amp;</w:t>
            </w:r>
          </w:p>
        </w:tc>
      </w:tr>
      <w:tr w:rsidR="00EF1D77" w:rsidRPr="00E24C3D" w14:paraId="0B79E35B" w14:textId="77777777" w:rsidTr="00656AF0">
        <w:trPr>
          <w:cantSplit/>
          <w:trHeight w:val="423"/>
        </w:trPr>
        <w:tc>
          <w:tcPr>
            <w:cnfStyle w:val="001000000000" w:firstRow="0" w:lastRow="0" w:firstColumn="1" w:lastColumn="0" w:oddVBand="0" w:evenVBand="0" w:oddHBand="0" w:evenHBand="0" w:firstRowFirstColumn="0" w:firstRowLastColumn="0" w:lastRowFirstColumn="0" w:lastRowLastColumn="0"/>
            <w:tcW w:w="10740" w:type="dxa"/>
            <w:gridSpan w:val="9"/>
          </w:tcPr>
          <w:p w14:paraId="59AA2799" w14:textId="77777777" w:rsidR="00EF1D77" w:rsidRPr="009D6F20" w:rsidRDefault="00EF1D77" w:rsidP="00656AF0">
            <w:pPr>
              <w:pStyle w:val="Table1"/>
              <w:jc w:val="left"/>
              <w:rPr>
                <w:b w:val="0"/>
                <w:lang w:val="en-US"/>
              </w:rPr>
            </w:pPr>
            <w:r w:rsidRPr="009D6F20">
              <w:rPr>
                <w:b w:val="0"/>
                <w:lang w:val="en-US"/>
              </w:rPr>
              <w:t xml:space="preserve">Notes: </w:t>
            </w:r>
          </w:p>
          <w:p w14:paraId="6FBE08E6" w14:textId="77777777" w:rsidR="00EF1D77" w:rsidRPr="009D6F20" w:rsidRDefault="00EF1D77" w:rsidP="00656AF0">
            <w:pPr>
              <w:pStyle w:val="Table1"/>
              <w:jc w:val="left"/>
              <w:rPr>
                <w:b w:val="0"/>
                <w:lang w:val="en-US"/>
              </w:rPr>
            </w:pPr>
            <w:r w:rsidRPr="009D6F20">
              <w:rPr>
                <w:b w:val="0"/>
                <w:lang w:val="en-US"/>
              </w:rPr>
              <w:t>(£) MAPP before 2005;</w:t>
            </w:r>
          </w:p>
          <w:p w14:paraId="6868441B" w14:textId="77777777" w:rsidR="00EF1D77" w:rsidRPr="009D6F20" w:rsidRDefault="00EF1D77" w:rsidP="00656AF0">
            <w:pPr>
              <w:pStyle w:val="Table1"/>
              <w:jc w:val="left"/>
              <w:rPr>
                <w:b w:val="0"/>
                <w:lang w:val="en-US"/>
              </w:rPr>
            </w:pPr>
            <w:r w:rsidRPr="009D6F20">
              <w:rPr>
                <w:b w:val="0"/>
                <w:lang w:val="en-US"/>
              </w:rPr>
              <w:t xml:space="preserve">(*) MAIN, ECAR, and MAAC were merged to form the ReliabilityFirst Co. in 2006; </w:t>
            </w:r>
          </w:p>
          <w:p w14:paraId="0309B706" w14:textId="77777777" w:rsidR="00EF1D77" w:rsidRPr="009D6F20" w:rsidRDefault="00EF1D77" w:rsidP="00656AF0">
            <w:pPr>
              <w:pStyle w:val="Table1"/>
              <w:jc w:val="left"/>
              <w:rPr>
                <w:b w:val="0"/>
                <w:lang w:val="en-US"/>
              </w:rPr>
            </w:pPr>
            <w:r w:rsidRPr="009D6F20">
              <w:rPr>
                <w:b w:val="0"/>
                <w:lang w:val="en-US"/>
              </w:rPr>
              <w:t>(#) LOLE and LOLP are discussed below.</w:t>
            </w:r>
          </w:p>
          <w:p w14:paraId="26BF1448" w14:textId="77777777" w:rsidR="00EF1D77" w:rsidRPr="009D6F20" w:rsidRDefault="00EF1D77" w:rsidP="00656AF0">
            <w:pPr>
              <w:pStyle w:val="Table1"/>
              <w:jc w:val="left"/>
              <w:rPr>
                <w:b w:val="0"/>
                <w:lang w:val="en-US"/>
              </w:rPr>
            </w:pPr>
            <w:r w:rsidRPr="009D6F20">
              <w:rPr>
                <w:b w:val="0"/>
                <w:lang w:val="en-US"/>
              </w:rPr>
              <w:lastRenderedPageBreak/>
              <w:t>(&amp;) NERC’s general reference levels are 10% of hydro and 15% for thermal dominant systems. Since SERC is an active member of NERC’s LOLP pilot group, its updated LOLP-based results are expected soon,</w:t>
            </w:r>
          </w:p>
        </w:tc>
      </w:tr>
    </w:tbl>
    <w:p w14:paraId="5E13D254" w14:textId="77777777" w:rsidR="00EF1D77" w:rsidRDefault="00EF1D77" w:rsidP="00EF1D77">
      <w:pPr>
        <w:rPr>
          <w:lang w:val="en-US"/>
        </w:rPr>
      </w:pPr>
    </w:p>
    <w:p w14:paraId="3978CA2A" w14:textId="6AC1169D" w:rsidR="00EF1D77" w:rsidRPr="000A5F5F" w:rsidRDefault="00EF1D77" w:rsidP="00EF1D77">
      <w:pPr>
        <w:rPr>
          <w:sz w:val="20"/>
          <w:szCs w:val="20"/>
          <w:lang w:val="en-US"/>
        </w:rPr>
      </w:pPr>
      <w:r>
        <w:rPr>
          <w:lang w:val="en-US"/>
        </w:rPr>
        <w:t xml:space="preserve">WECC, the NERC regional entity monitoring FBC’s service area, does not impose a common target or method for PRM on its members. Meanwhile, NERC and WECC strictly require utilities to maintain their reliability standards for OR requirements. Because WECC only assesses and projects PRM but does not specify any adequacy threshold, NERC applies a baseline of 10% to WECC since WECC is hydro-generation predominant (see </w:t>
      </w:r>
      <w:r w:rsidRPr="004E4ED7">
        <w:rPr>
          <w:lang w:val="en-US"/>
        </w:rPr>
        <w:t xml:space="preserve">footnote </w:t>
      </w:r>
      <w:r w:rsidRPr="004E4ED7">
        <w:rPr>
          <w:lang w:val="en-US"/>
        </w:rPr>
        <w:fldChar w:fldCharType="begin"/>
      </w:r>
      <w:r w:rsidRPr="004E4ED7">
        <w:rPr>
          <w:lang w:val="en-US"/>
        </w:rPr>
        <w:instrText xml:space="preserve"> NOTEREF _Ref388596882 \h  \* MERGEFORMAT </w:instrText>
      </w:r>
      <w:r w:rsidRPr="004E4ED7">
        <w:rPr>
          <w:lang w:val="en-US"/>
        </w:rPr>
      </w:r>
      <w:r w:rsidRPr="004E4ED7">
        <w:rPr>
          <w:lang w:val="en-US"/>
        </w:rPr>
        <w:fldChar w:fldCharType="separate"/>
      </w:r>
      <w:r w:rsidR="005B1B18">
        <w:rPr>
          <w:lang w:val="en-US"/>
        </w:rPr>
        <w:t>1</w:t>
      </w:r>
      <w:r w:rsidRPr="004E4ED7">
        <w:rPr>
          <w:lang w:val="en-US"/>
        </w:rPr>
        <w:fldChar w:fldCharType="end"/>
      </w:r>
      <w:r w:rsidRPr="004E4ED7">
        <w:rPr>
          <w:lang w:val="en-US"/>
        </w:rPr>
        <w:t>).</w:t>
      </w:r>
      <w:r>
        <w:rPr>
          <w:lang w:val="en-US"/>
        </w:rPr>
        <w:t xml:space="preserve"> This serves only as a reminder to utilities in the WECC service area, however each utility should determine its own PRM requirement based on its own operational needs, including consideration of its resources, load requirements and access to the market. Nevertheless, all utilities must insure that any PRM must at least cover OR requirements for regulating and contingency reserves. FBC is a member of the North West Power Pool (</w:t>
      </w:r>
      <w:r w:rsidRPr="00DC537D">
        <w:rPr>
          <w:b/>
          <w:lang w:val="en-US"/>
        </w:rPr>
        <w:t>NWPP</w:t>
      </w:r>
      <w:r>
        <w:rPr>
          <w:lang w:val="en-US"/>
        </w:rPr>
        <w:t>) contingency reserve sharing group, and hence required to hold 5%</w:t>
      </w:r>
      <w:r>
        <w:rPr>
          <w:rStyle w:val="FootnoteReference"/>
          <w:lang w:val="en-US"/>
        </w:rPr>
        <w:footnoteReference w:id="17"/>
      </w:r>
      <w:r>
        <w:rPr>
          <w:lang w:val="en-US"/>
        </w:rPr>
        <w:t xml:space="preserve"> of its capacity for contingency reserves</w:t>
      </w:r>
      <w:r w:rsidR="008604FA">
        <w:rPr>
          <w:lang w:val="en-US"/>
        </w:rPr>
        <w:t>,</w:t>
      </w:r>
      <w:r>
        <w:rPr>
          <w:lang w:val="en-US"/>
        </w:rPr>
        <w:t xml:space="preserve"> and under the Canal Plant Agreement </w:t>
      </w:r>
      <w:r w:rsidR="008604FA">
        <w:rPr>
          <w:lang w:val="en-US"/>
        </w:rPr>
        <w:t xml:space="preserve">FBC </w:t>
      </w:r>
      <w:r>
        <w:rPr>
          <w:lang w:val="en-US"/>
        </w:rPr>
        <w:t>also holds 2% of its capacity for regulating reserves.</w:t>
      </w:r>
    </w:p>
    <w:p w14:paraId="69F08B71" w14:textId="77777777" w:rsidR="00EF1D77" w:rsidRDefault="00EF1D77" w:rsidP="00EF1D77">
      <w:pPr>
        <w:pStyle w:val="Heading2"/>
      </w:pPr>
      <w:bookmarkStart w:id="8" w:name="_Toc426649340"/>
      <w:r>
        <w:t>Resource Adequacy Metrics</w:t>
      </w:r>
      <w:bookmarkEnd w:id="8"/>
    </w:p>
    <w:p w14:paraId="4C225441" w14:textId="77777777" w:rsidR="00EF1D77" w:rsidRDefault="00EF1D77" w:rsidP="00EF1D77">
      <w:pPr>
        <w:rPr>
          <w:lang w:val="en-US"/>
        </w:rPr>
      </w:pPr>
      <w:r>
        <w:rPr>
          <w:lang w:val="en-US"/>
        </w:rPr>
        <w:t>The utility industry uses a number of metrics (indices) to measure resource adequacy and determine PRM requirements. Most common metrics are described below:</w:t>
      </w:r>
    </w:p>
    <w:p w14:paraId="5C071229" w14:textId="147FC1D1" w:rsidR="00EF1D77" w:rsidRDefault="00EF1D77" w:rsidP="00EF1D77">
      <w:pPr>
        <w:pStyle w:val="ListBullet1"/>
      </w:pPr>
      <w:r w:rsidRPr="00DC537D">
        <w:rPr>
          <w:i/>
        </w:rPr>
        <w:t>Loss of Load Expectation</w:t>
      </w:r>
      <w:r>
        <w:t xml:space="preserve"> (</w:t>
      </w:r>
      <w:r w:rsidRPr="00DC537D">
        <w:rPr>
          <w:b/>
        </w:rPr>
        <w:t>LOLE</w:t>
      </w:r>
      <w:r>
        <w:t xml:space="preserve">, in days per year): LOLE is the expected number of days in a year when the aggregate resource is insufficient to meet load. It does not matter if there </w:t>
      </w:r>
      <w:r w:rsidR="00C03362">
        <w:t>are</w:t>
      </w:r>
      <w:r>
        <w:t xml:space="preserve"> single or multiple shortfall events in a day of resource inadequacy</w:t>
      </w:r>
      <w:r w:rsidR="00C03362">
        <w:t xml:space="preserve"> </w:t>
      </w:r>
      <w:r w:rsidR="00C03362" w:rsidRPr="00F41D11">
        <w:rPr>
          <w:color w:val="000000" w:themeColor="text1"/>
        </w:rPr>
        <w:t xml:space="preserve">since the analysis is for the daily peak only. Resource capacity is assumed to remain constant throughout the </w:t>
      </w:r>
      <w:r w:rsidR="00C03362" w:rsidRPr="00F41D11">
        <w:rPr>
          <w:color w:val="000000" w:themeColor="text1"/>
        </w:rPr>
        <w:lastRenderedPageBreak/>
        <w:t xml:space="preserve">day. </w:t>
      </w:r>
      <w:r w:rsidRPr="00F41D11">
        <w:rPr>
          <w:color w:val="000000" w:themeColor="text1"/>
        </w:rPr>
        <w:t>This</w:t>
      </w:r>
      <w:r>
        <w:t xml:space="preserve"> is the most commonly used metric in the industry. The traditional LOLE criterion is “1 day in 10 years”, or equivalently 0.1 day/year if annual analysis is required. </w:t>
      </w:r>
    </w:p>
    <w:p w14:paraId="165092DA" w14:textId="2FCECED2" w:rsidR="00EF1D77" w:rsidRDefault="00EF1D77" w:rsidP="00EF1D77">
      <w:pPr>
        <w:pStyle w:val="ListBullet1"/>
      </w:pPr>
      <w:r w:rsidRPr="00DC537D">
        <w:rPr>
          <w:i/>
        </w:rPr>
        <w:t>Loss of Load Hours</w:t>
      </w:r>
      <w:r>
        <w:t xml:space="preserve"> (</w:t>
      </w:r>
      <w:r w:rsidRPr="00DC537D">
        <w:rPr>
          <w:b/>
        </w:rPr>
        <w:t>LOLH</w:t>
      </w:r>
      <w:r>
        <w:t xml:space="preserve">, in hours per year): LOLH is the expected number of hours in a year when the aggregate resource is insufficient to meet load. This metric is very similar to the LOLE, but using hourly load and generation profiles rather than the daily peak and capacity profiles. It is useful when there are intermittent renewable resources like wind or solar in the resource mix. Conversion between LOLE and LOLH is, however, not straightforward.  LOLE does not equal LOLH/24 because a shortfall event typically does not last for the whole day. </w:t>
      </w:r>
      <w:r w:rsidR="00153326">
        <w:t>If outages were to typically last for 8 hours,</w:t>
      </w:r>
      <w:r>
        <w:t xml:space="preserve"> the LOLE criterion of 0.1 day/year would be closer to </w:t>
      </w:r>
      <w:r w:rsidR="00153326">
        <w:t>a</w:t>
      </w:r>
      <w:r>
        <w:t xml:space="preserve"> LOLH criterion</w:t>
      </w:r>
      <w:r w:rsidR="00153326">
        <w:t xml:space="preserve"> of</w:t>
      </w:r>
      <w:r>
        <w:t xml:space="preserve"> </w:t>
      </w:r>
      <w:r w:rsidR="00153326">
        <w:t>(0.1 * 8) or</w:t>
      </w:r>
      <w:r>
        <w:t xml:space="preserve"> 0.8 hour/year</w:t>
      </w:r>
      <w:r w:rsidR="00153326">
        <w:t>.</w:t>
      </w:r>
      <w:r>
        <w:t xml:space="preserve"> </w:t>
      </w:r>
      <w:r w:rsidR="00153326">
        <w:t>This uncertainty in the average outage time makes it very difficult to compare LOLE and LOLH numbers.</w:t>
      </w:r>
    </w:p>
    <w:p w14:paraId="2C1E7483" w14:textId="77777777" w:rsidR="00EF1D77" w:rsidRDefault="00EF1D77" w:rsidP="00EF1D77">
      <w:pPr>
        <w:pStyle w:val="ListBullet1"/>
      </w:pPr>
      <w:r w:rsidRPr="00DC537D">
        <w:rPr>
          <w:i/>
        </w:rPr>
        <w:t>Expected Unserved Energy</w:t>
      </w:r>
      <w:r>
        <w:t xml:space="preserve"> (</w:t>
      </w:r>
      <w:r w:rsidRPr="00DC537D">
        <w:rPr>
          <w:b/>
        </w:rPr>
        <w:t>EUE</w:t>
      </w:r>
      <w:r>
        <w:t>, in MWh): EUE is the expected amount of energy not served per year. This metric gives some information of the aggregated magnitude of shortfalls.</w:t>
      </w:r>
    </w:p>
    <w:p w14:paraId="27688BB9" w14:textId="77777777" w:rsidR="00EF1D77" w:rsidRDefault="00EF1D77" w:rsidP="00EF1D77">
      <w:pPr>
        <w:pStyle w:val="ListBullet1"/>
      </w:pPr>
      <w:r w:rsidRPr="00DC537D">
        <w:rPr>
          <w:i/>
        </w:rPr>
        <w:t>Loss of Load Probability</w:t>
      </w:r>
      <w:r>
        <w:t xml:space="preserve"> (</w:t>
      </w:r>
      <w:r w:rsidRPr="00DC537D">
        <w:rPr>
          <w:b/>
        </w:rPr>
        <w:t>LOLP</w:t>
      </w:r>
      <w:r>
        <w:t>, in %): LOLP is the probability that at least one shortfall event will occur over the time period being evaluated. Common industry standards are 1-in-10 or 10% and 1-in-20 or 5%. This approach uses an annual measure. This metric does not reflect the frequency of events such as the LOLE or LOLH because it does not matter if there are one or more shortfall events in the bad year.</w:t>
      </w:r>
    </w:p>
    <w:p w14:paraId="70C512A5" w14:textId="77777777" w:rsidR="00EF1D77" w:rsidRDefault="00EF1D77" w:rsidP="00EF1D77">
      <w:pPr>
        <w:rPr>
          <w:lang w:val="en-US"/>
        </w:rPr>
      </w:pPr>
      <w:r>
        <w:rPr>
          <w:lang w:val="en-US"/>
        </w:rPr>
        <w:t>These resource adequacy metrics are sometimes referred to as reliability indices in the literature. Since cost consideration makes it practically impossible to have a system totally immune to shortage events, a target metric is chosen to reflect a tradeoff between reliability and cost, given a utility’s particular situation.</w:t>
      </w:r>
    </w:p>
    <w:p w14:paraId="536926FF" w14:textId="77777777" w:rsidR="00EF1D77" w:rsidRDefault="00EF1D77" w:rsidP="00EF1D77">
      <w:pPr>
        <w:pStyle w:val="Heading2"/>
      </w:pPr>
      <w:bookmarkStart w:id="9" w:name="_Toc426649341"/>
      <w:r>
        <w:t>Methods to Determine PRM</w:t>
      </w:r>
      <w:bookmarkEnd w:id="9"/>
    </w:p>
    <w:p w14:paraId="0409E393" w14:textId="77777777" w:rsidR="00EF1D77" w:rsidRDefault="00EF1D77" w:rsidP="00EF1D77">
      <w:pPr>
        <w:rPr>
          <w:lang w:val="en-US"/>
        </w:rPr>
      </w:pPr>
      <w:r>
        <w:rPr>
          <w:lang w:val="en-US"/>
        </w:rPr>
        <w:t>This section gives an overview of two main approaches to calculate the PRM capacity and the method chosen by FBC.</w:t>
      </w:r>
    </w:p>
    <w:p w14:paraId="0A6C3734" w14:textId="77777777" w:rsidR="00EF1D77" w:rsidRPr="0054077C" w:rsidRDefault="00EF1D77" w:rsidP="00EF1D77">
      <w:pPr>
        <w:pStyle w:val="Heading3"/>
      </w:pPr>
      <w:bookmarkStart w:id="10" w:name="_Toc355786947"/>
      <w:bookmarkStart w:id="11" w:name="_Toc383170508"/>
      <w:bookmarkStart w:id="12" w:name="_Toc426649342"/>
      <w:r w:rsidRPr="0054077C">
        <w:lastRenderedPageBreak/>
        <w:t>Simple rule-based approach</w:t>
      </w:r>
      <w:bookmarkEnd w:id="10"/>
      <w:bookmarkEnd w:id="11"/>
      <w:bookmarkEnd w:id="12"/>
    </w:p>
    <w:p w14:paraId="748E6D3A" w14:textId="77777777" w:rsidR="00EF1D77" w:rsidRDefault="00EF1D77" w:rsidP="00EF1D77">
      <w:pPr>
        <w:rPr>
          <w:lang w:val="en-US"/>
        </w:rPr>
      </w:pPr>
      <w:r>
        <w:rPr>
          <w:lang w:val="en-US"/>
        </w:rPr>
        <w:t>This approach can be done in two ways. In the first way, the utility applies PRM as a certain percent of load. This percentage is taken directly from available study results published by its regional coordination organization</w:t>
      </w:r>
      <w:r w:rsidRPr="003F3532">
        <w:rPr>
          <w:lang w:val="en-US"/>
        </w:rPr>
        <w:t xml:space="preserve"> </w:t>
      </w:r>
      <w:r>
        <w:rPr>
          <w:lang w:val="en-US"/>
        </w:rPr>
        <w:t>on regional PRM. For example, a utility member in the Northwest Power and Conservation Council (</w:t>
      </w:r>
      <w:r w:rsidRPr="00DC537D">
        <w:rPr>
          <w:b/>
          <w:lang w:val="en-US"/>
        </w:rPr>
        <w:t>NWPCC</w:t>
      </w:r>
      <w:r>
        <w:rPr>
          <w:lang w:val="en-US"/>
        </w:rPr>
        <w:t>) can set its winter PRM at 24% and its summer PRM at 23% of net demand (inclusive of OR</w:t>
      </w:r>
      <w:r>
        <w:rPr>
          <w:rStyle w:val="FootnoteReference"/>
          <w:lang w:val="en-US"/>
        </w:rPr>
        <w:footnoteReference w:id="18"/>
      </w:r>
      <w:r>
        <w:rPr>
          <w:lang w:val="en-US"/>
        </w:rPr>
        <w:t>) based on the NWPCC’s calculations for its whole area. However, since the regional study’s methods typically take into account dispatching capability among different load serving entities with different load and capacity profiles,</w:t>
      </w:r>
      <w:r w:rsidRPr="00FF42FB">
        <w:rPr>
          <w:lang w:val="en-US"/>
        </w:rPr>
        <w:t xml:space="preserve"> </w:t>
      </w:r>
      <w:r>
        <w:rPr>
          <w:lang w:val="en-US"/>
        </w:rPr>
        <w:t xml:space="preserve">the regional organization warns utilities that the results should be interpreted for the whole region and should not be directly applied to any single utility. </w:t>
      </w:r>
    </w:p>
    <w:p w14:paraId="170131C6" w14:textId="77777777" w:rsidR="00EF1D77" w:rsidRDefault="00EF1D77" w:rsidP="00EF1D77">
      <w:pPr>
        <w:rPr>
          <w:lang w:val="en-US"/>
        </w:rPr>
      </w:pPr>
      <w:r>
        <w:rPr>
          <w:lang w:val="en-US"/>
        </w:rPr>
        <w:t xml:space="preserve">The second way uses a simple deterministic formula to determine PRM. For example, prior to adopting the building block method described in Section </w:t>
      </w:r>
      <w:r>
        <w:rPr>
          <w:lang w:val="en-US"/>
        </w:rPr>
        <w:fldChar w:fldCharType="begin"/>
      </w:r>
      <w:r>
        <w:rPr>
          <w:lang w:val="en-US"/>
        </w:rPr>
        <w:instrText xml:space="preserve"> REF _Ref388857843 \r \h </w:instrText>
      </w:r>
      <w:r>
        <w:rPr>
          <w:lang w:val="en-US"/>
        </w:rPr>
      </w:r>
      <w:r>
        <w:rPr>
          <w:lang w:val="en-US"/>
        </w:rPr>
        <w:fldChar w:fldCharType="separate"/>
      </w:r>
      <w:r w:rsidR="005B1B18">
        <w:rPr>
          <w:lang w:val="en-US"/>
        </w:rPr>
        <w:t>1.1</w:t>
      </w:r>
      <w:r>
        <w:rPr>
          <w:lang w:val="en-US"/>
        </w:rPr>
        <w:fldChar w:fldCharType="end"/>
      </w:r>
      <w:r>
        <w:rPr>
          <w:lang w:val="en-US"/>
        </w:rPr>
        <w:t xml:space="preserve"> above, WECC used the following formula:</w:t>
      </w:r>
    </w:p>
    <w:p w14:paraId="23DF3B65" w14:textId="77777777" w:rsidR="00EF1D77" w:rsidRDefault="00EF1D77" w:rsidP="00EF1D77">
      <w:pPr>
        <w:jc w:val="center"/>
        <w:rPr>
          <w:lang w:val="en-US"/>
        </w:rPr>
      </w:pPr>
      <w:r>
        <w:rPr>
          <w:lang w:val="en-US"/>
        </w:rPr>
        <w:t>PRM = Most Severe Single Contingency + 5%*Load Responsibility</w:t>
      </w:r>
      <w:r>
        <w:rPr>
          <w:lang w:val="en-US"/>
        </w:rPr>
        <w:tab/>
      </w:r>
    </w:p>
    <w:p w14:paraId="3B50C7A7" w14:textId="6BE7E3A0" w:rsidR="00860585" w:rsidRDefault="00EF1D77" w:rsidP="00EF1D77">
      <w:pPr>
        <w:rPr>
          <w:lang w:val="en-US"/>
        </w:rPr>
      </w:pPr>
      <w:r>
        <w:rPr>
          <w:lang w:val="en-US"/>
        </w:rPr>
        <w:t xml:space="preserve">The analytical methods above are simple to use, but their major disadvantage is that they do not directly address any resource adequacy metrics (LOLE, LOLH, EUE) and hence the utility cannot know the system risk level and whether the resource adequacy measure is appropriate for its individual situation. </w:t>
      </w:r>
      <w:bookmarkStart w:id="13" w:name="_Toc355786948"/>
      <w:bookmarkStart w:id="14" w:name="_Toc383170509"/>
    </w:p>
    <w:p w14:paraId="45F64996" w14:textId="771E4A1B" w:rsidR="00EF1D77" w:rsidRDefault="00EF1D77" w:rsidP="009F66D4">
      <w:pPr>
        <w:pStyle w:val="Heading3"/>
      </w:pPr>
      <w:bookmarkStart w:id="15" w:name="_Toc426649343"/>
      <w:r w:rsidRPr="0054077C">
        <w:t>Probabilistic approach</w:t>
      </w:r>
      <w:bookmarkEnd w:id="13"/>
      <w:bookmarkEnd w:id="14"/>
      <w:bookmarkEnd w:id="15"/>
    </w:p>
    <w:p w14:paraId="1471ECAA" w14:textId="77777777" w:rsidR="00EF1D77" w:rsidRDefault="00EF1D77" w:rsidP="00EF1D77">
      <w:pPr>
        <w:rPr>
          <w:lang w:val="en-US"/>
        </w:rPr>
      </w:pPr>
      <w:r>
        <w:rPr>
          <w:lang w:val="en-US"/>
        </w:rPr>
        <w:t xml:space="preserve">Unlike methods in the simple rule-based approach, methods in the probabilistic approach, being deterministic or stochastic, directly target resource adequacy metrics. The first method is called the “Capacity Outage Probability Table” and was quite popular in the 1960s-1980s. In this method, the utility studies its generators’ forced outage rate (FOR), then builds up a complex table of capacity outage probabilities and compares values in this table to a forecast load duration curve to find LOLE.  Appendix A gives an example of this calculation. There are </w:t>
      </w:r>
      <w:r>
        <w:rPr>
          <w:lang w:val="en-US"/>
        </w:rPr>
        <w:lastRenderedPageBreak/>
        <w:t>two main disadvantages with this method. First, setting up the capacity outage probability table gets more cumbersome and intractable the more generators there are in the system. Second, this method cannot take into account both load variations and system outages</w:t>
      </w:r>
      <w:r w:rsidRPr="00B727F5">
        <w:rPr>
          <w:lang w:val="en-US"/>
        </w:rPr>
        <w:t xml:space="preserve"> </w:t>
      </w:r>
      <w:r>
        <w:rPr>
          <w:lang w:val="en-US"/>
        </w:rPr>
        <w:t xml:space="preserve">at the same time. </w:t>
      </w:r>
    </w:p>
    <w:p w14:paraId="7191022F" w14:textId="77777777" w:rsidR="00EF1D77" w:rsidRDefault="00EF1D77" w:rsidP="00EF1D77">
      <w:pPr>
        <w:rPr>
          <w:lang w:val="en-US"/>
        </w:rPr>
      </w:pPr>
      <w:r>
        <w:rPr>
          <w:lang w:val="en-US"/>
        </w:rPr>
        <w:t>To overcome these disadvantages, most utilities have switched to the stochastic method, which is based on a Monte-Carlo (</w:t>
      </w:r>
      <w:r w:rsidRPr="00DC537D">
        <w:rPr>
          <w:b/>
          <w:lang w:val="en-US"/>
        </w:rPr>
        <w:t>MC</w:t>
      </w:r>
      <w:r>
        <w:rPr>
          <w:lang w:val="en-US"/>
        </w:rPr>
        <w:t>) simulation. In this method, multiple uncertainties in the system are considered simultaneously and the output is obtained after a high number of sampling iterations. The main advantage of this method is to allow utilities to better approximate real operation of the system, which makes planning results much more useful. Utilities had limited access to computing power in the past to apply this method to obtain valid results, but current computing technologies have significantly reduced this obstacle.</w:t>
      </w:r>
    </w:p>
    <w:p w14:paraId="630DA967" w14:textId="77777777" w:rsidR="00EF1D77" w:rsidRDefault="00EF1D77" w:rsidP="00EF1D77">
      <w:pPr>
        <w:rPr>
          <w:lang w:val="en-US"/>
        </w:rPr>
      </w:pPr>
      <w:r>
        <w:rPr>
          <w:lang w:val="en-US"/>
        </w:rPr>
        <w:t xml:space="preserve">The resource adequacy metrics mentioned in Section 1.2 are obtained in the MC simulation method as follows. Suppose a MC simulation for a year uses </w:t>
      </w:r>
      <w:r w:rsidRPr="001616DD">
        <w:rPr>
          <w:i/>
          <w:lang w:val="en-US"/>
        </w:rPr>
        <w:t>n</w:t>
      </w:r>
      <w:r>
        <w:rPr>
          <w:lang w:val="en-US"/>
        </w:rPr>
        <w:t xml:space="preserve"> sampling iterations. If there are </w:t>
      </w:r>
      <w:r w:rsidRPr="0029656B">
        <w:rPr>
          <w:i/>
          <w:lang w:val="en-US"/>
        </w:rPr>
        <w:t>m</w:t>
      </w:r>
      <w:r>
        <w:rPr>
          <w:lang w:val="en-US"/>
        </w:rPr>
        <w:t xml:space="preserve"> simulated years (m </w:t>
      </w:r>
      <w:r>
        <w:rPr>
          <w:rFonts w:cstheme="minorHAnsi"/>
          <w:lang w:val="en-US"/>
        </w:rPr>
        <w:t xml:space="preserve">≤ </w:t>
      </w:r>
      <w:r>
        <w:rPr>
          <w:lang w:val="en-US"/>
        </w:rPr>
        <w:t>n)  in which at least one shortfall event occurs (i.e. resource capacity in a day is less than the day’s peak demand if the daily load profile is used or resource capacity in an hour is less than this hour’s peak demand if the hourly load profile is used), then for this year:</w:t>
      </w:r>
    </w:p>
    <w:p w14:paraId="1E28B6A7" w14:textId="77777777" w:rsidR="00EF1D77" w:rsidRDefault="00EF1D77" w:rsidP="00EF1D77">
      <w:pPr>
        <w:ind w:left="1710" w:hanging="990"/>
        <w:rPr>
          <w:lang w:val="en-US"/>
        </w:rPr>
      </w:pPr>
      <w:r w:rsidRPr="0029656B">
        <w:rPr>
          <w:i/>
          <w:lang w:val="en-US"/>
        </w:rPr>
        <w:t>LOLP = m/n</w:t>
      </w:r>
      <w:r>
        <w:rPr>
          <w:lang w:val="en-US"/>
        </w:rPr>
        <w:t xml:space="preserve">, and </w:t>
      </w:r>
      <w:r w:rsidRPr="0029656B">
        <w:rPr>
          <w:i/>
          <w:lang w:val="en-US"/>
        </w:rPr>
        <w:t>LOLE = Total number of days having shortfalls/n</w:t>
      </w:r>
      <w:r>
        <w:rPr>
          <w:i/>
          <w:lang w:val="en-US"/>
        </w:rPr>
        <w:t>,</w:t>
      </w:r>
      <w:r>
        <w:rPr>
          <w:lang w:val="en-US"/>
        </w:rPr>
        <w:t xml:space="preserve"> if the daily load profile is used (day/year), or</w:t>
      </w:r>
    </w:p>
    <w:p w14:paraId="1AF3DD2B" w14:textId="77777777" w:rsidR="00EF1D77" w:rsidRDefault="00EF1D77" w:rsidP="00EF1D77">
      <w:pPr>
        <w:ind w:left="1710" w:hanging="990"/>
        <w:rPr>
          <w:lang w:val="en-US"/>
        </w:rPr>
      </w:pPr>
      <w:r w:rsidRPr="0029656B">
        <w:rPr>
          <w:i/>
          <w:lang w:val="en-US"/>
        </w:rPr>
        <w:t>LOL</w:t>
      </w:r>
      <w:r>
        <w:rPr>
          <w:i/>
          <w:lang w:val="en-US"/>
        </w:rPr>
        <w:t>H</w:t>
      </w:r>
      <w:r w:rsidRPr="0029656B">
        <w:rPr>
          <w:i/>
          <w:lang w:val="en-US"/>
        </w:rPr>
        <w:t xml:space="preserve"> = Total number of hours having shortfalls/n</w:t>
      </w:r>
      <w:r>
        <w:rPr>
          <w:lang w:val="en-US"/>
        </w:rPr>
        <w:t xml:space="preserve"> (hour/year) if the hourly load and generation profiles are used. </w:t>
      </w:r>
    </w:p>
    <w:p w14:paraId="18786C73" w14:textId="77777777" w:rsidR="00EF1D77" w:rsidRDefault="00EF1D77" w:rsidP="00EF1D77">
      <w:pPr>
        <w:rPr>
          <w:lang w:val="en-US"/>
        </w:rPr>
      </w:pPr>
      <w:r>
        <w:rPr>
          <w:lang w:val="en-US"/>
        </w:rPr>
        <w:t xml:space="preserve">In the latter case, EUE can also be estimated as </w:t>
      </w:r>
      <w:r w:rsidRPr="0029656B">
        <w:rPr>
          <w:i/>
          <w:lang w:val="en-US"/>
        </w:rPr>
        <w:t xml:space="preserve">Total </w:t>
      </w:r>
      <w:r>
        <w:rPr>
          <w:i/>
          <w:lang w:val="en-US"/>
        </w:rPr>
        <w:t xml:space="preserve">hourly </w:t>
      </w:r>
      <w:r w:rsidRPr="0029656B">
        <w:rPr>
          <w:i/>
          <w:lang w:val="en-US"/>
        </w:rPr>
        <w:t>capacity shortage/n</w:t>
      </w:r>
      <w:r>
        <w:rPr>
          <w:lang w:val="en-US"/>
        </w:rPr>
        <w:t xml:space="preserve"> (MWh/year). As mentioned earlier, converting LOLH to the more traditional LOLE to compare to the default industry standard LOLE 0.1 day/year is not simple and still a subject of debate.</w:t>
      </w:r>
    </w:p>
    <w:p w14:paraId="5EE54999" w14:textId="77777777" w:rsidR="00EF1D77" w:rsidRPr="0054077C" w:rsidRDefault="00EF1D77" w:rsidP="00EF1D77">
      <w:pPr>
        <w:pStyle w:val="Heading3"/>
      </w:pPr>
      <w:bookmarkStart w:id="16" w:name="_Toc355786949"/>
      <w:bookmarkStart w:id="17" w:name="_Toc383170510"/>
      <w:bookmarkStart w:id="18" w:name="_Toc426649344"/>
      <w:r w:rsidRPr="0054077C">
        <w:t>FBC’s Method to Determine PRM</w:t>
      </w:r>
      <w:bookmarkEnd w:id="16"/>
      <w:bookmarkEnd w:id="17"/>
      <w:bookmarkEnd w:id="18"/>
    </w:p>
    <w:p w14:paraId="629A275B" w14:textId="5D7ECB01" w:rsidR="00B722C3" w:rsidRDefault="00EF1D77" w:rsidP="00EF1D77">
      <w:pPr>
        <w:rPr>
          <w:lang w:val="en-US"/>
        </w:rPr>
      </w:pPr>
      <w:r>
        <w:rPr>
          <w:lang w:val="en-US"/>
        </w:rPr>
        <w:t xml:space="preserve">The Company believes a probabilistic approach </w:t>
      </w:r>
      <w:r w:rsidR="00B722C3">
        <w:rPr>
          <w:lang w:val="en-US"/>
        </w:rPr>
        <w:t>employing</w:t>
      </w:r>
      <w:r>
        <w:rPr>
          <w:lang w:val="en-US"/>
        </w:rPr>
        <w:t xml:space="preserve"> a Monte Carlo simulation of its operating environment to assess the adequacy of its resources to meet a target performance provides the most balanced method. The Company </w:t>
      </w:r>
      <w:r>
        <w:rPr>
          <w:lang w:val="en-US"/>
        </w:rPr>
        <w:lastRenderedPageBreak/>
        <w:t>has chosen the LOLE industry practice of 1 day in 10 years, or as it is more commonly expressed, 0.1 day/year as the target resource adequacy index</w:t>
      </w:r>
      <w:r w:rsidR="00896337">
        <w:rPr>
          <w:lang w:val="en-US"/>
        </w:rPr>
        <w:t xml:space="preserve"> as it is currently the industry standard and it is appropriate for the FBC resources</w:t>
      </w:r>
      <w:r>
        <w:rPr>
          <w:lang w:val="en-US"/>
        </w:rPr>
        <w:t>. After the ReliabilityFirst Corporation, a NERC entity, approved this criterion in March 2011</w:t>
      </w:r>
      <w:r>
        <w:rPr>
          <w:rStyle w:val="FootnoteReference"/>
          <w:lang w:val="en-US"/>
        </w:rPr>
        <w:footnoteReference w:id="19"/>
      </w:r>
      <w:r>
        <w:rPr>
          <w:lang w:val="en-US"/>
        </w:rPr>
        <w:t xml:space="preserve">, WECC remains the only NERC entity that has not endorsed this criterion. Details of the MC method that the Company employed are given in Section 3. </w:t>
      </w:r>
    </w:p>
    <w:p w14:paraId="72531ADB" w14:textId="77777777" w:rsidR="00B722C3" w:rsidRDefault="00B722C3" w:rsidP="00EF1D77">
      <w:pPr>
        <w:rPr>
          <w:lang w:val="en-US"/>
        </w:rPr>
      </w:pPr>
    </w:p>
    <w:p w14:paraId="6AE87E35" w14:textId="3471899B" w:rsidR="00EF1D77" w:rsidRDefault="00EF1D77" w:rsidP="00EF1D77">
      <w:pPr>
        <w:pStyle w:val="Heading1"/>
      </w:pPr>
      <w:bookmarkStart w:id="19" w:name="_Toc426649345"/>
      <w:r>
        <w:t xml:space="preserve">Overview of </w:t>
      </w:r>
      <w:r w:rsidR="00B722C3">
        <w:t xml:space="preserve">THE </w:t>
      </w:r>
      <w:r>
        <w:t>FortisBC Operating Environment</w:t>
      </w:r>
      <w:bookmarkEnd w:id="19"/>
    </w:p>
    <w:p w14:paraId="743E9549" w14:textId="77777777" w:rsidR="00EF1D77" w:rsidRDefault="00EF1D77" w:rsidP="00EF1D77">
      <w:pPr>
        <w:rPr>
          <w:lang w:val="en-US"/>
        </w:rPr>
      </w:pPr>
      <w:r>
        <w:rPr>
          <w:lang w:val="en-US"/>
        </w:rPr>
        <w:t>The section presents in detail key features of the Company’s operating environment as they apply to Planning Reserve Margin. The normal operating environment constitutes the base case for the study to be presented in the next section while deviations from its expected condition are then examined in a number of sensitivity cases.</w:t>
      </w:r>
    </w:p>
    <w:p w14:paraId="1FF2103A" w14:textId="77777777" w:rsidR="00EF1D77" w:rsidRPr="0054077C" w:rsidRDefault="00EF1D77" w:rsidP="00EF1D77">
      <w:pPr>
        <w:pStyle w:val="Heading2"/>
      </w:pPr>
      <w:bookmarkStart w:id="20" w:name="_Toc355786950"/>
      <w:bookmarkStart w:id="21" w:name="_Toc383170512"/>
      <w:bookmarkStart w:id="22" w:name="_Toc426649346"/>
      <w:r>
        <w:t xml:space="preserve">FortisBC </w:t>
      </w:r>
      <w:r w:rsidRPr="0054077C">
        <w:t>Resource Stack</w:t>
      </w:r>
      <w:bookmarkEnd w:id="20"/>
      <w:bookmarkEnd w:id="21"/>
      <w:bookmarkEnd w:id="22"/>
    </w:p>
    <w:p w14:paraId="24653A8B" w14:textId="77777777" w:rsidR="00EF1D77" w:rsidRPr="0054077C" w:rsidRDefault="00EF1D77" w:rsidP="00EF1D77">
      <w:pPr>
        <w:pStyle w:val="Heading3"/>
      </w:pPr>
      <w:bookmarkStart w:id="23" w:name="_Toc355786951"/>
      <w:bookmarkStart w:id="24" w:name="_Toc383170513"/>
      <w:bookmarkStart w:id="25" w:name="_Toc426649347"/>
      <w:r w:rsidRPr="0054077C">
        <w:t>CPA Entitlement</w:t>
      </w:r>
      <w:bookmarkEnd w:id="23"/>
      <w:bookmarkEnd w:id="24"/>
      <w:bookmarkEnd w:id="25"/>
      <w:r w:rsidRPr="0054077C">
        <w:t xml:space="preserve"> </w:t>
      </w:r>
    </w:p>
    <w:p w14:paraId="5A83A62F" w14:textId="4550C99F" w:rsidR="00EF1D77" w:rsidRDefault="00EF1D77" w:rsidP="00EF1D77">
      <w:pPr>
        <w:rPr>
          <w:lang w:val="en-US"/>
        </w:rPr>
      </w:pPr>
      <w:r>
        <w:rPr>
          <w:lang w:val="en-US"/>
        </w:rPr>
        <w:t>The Company owns four existing hydro plants located on the Kootenay River between Nelson and Castlegar in this order: Corra Linn (three generators), Upper Bonnington (six generators), Lower Bonnington (three generators), and South Slocan (three generators).  Since these facilities are operated under the Canal Plant Agreement (</w:t>
      </w:r>
      <w:r w:rsidRPr="00DC537D">
        <w:rPr>
          <w:b/>
          <w:lang w:val="en-US"/>
        </w:rPr>
        <w:t>CPA</w:t>
      </w:r>
      <w:r>
        <w:rPr>
          <w:lang w:val="en-US"/>
        </w:rPr>
        <w:t>), BCH directly dispatches the plants and FBC receives guaranteed entitlement energy and capacity provided the generating units are available to be dispatched. The Company’s usage of its plants to meet system requirements is therefore insulated from hydrology risks, but still subject to plant outages. In addition to its four plants, FBC has a long-term contract to purchase the whole output of the four generating units of the Brilliant Plant (</w:t>
      </w:r>
      <w:r w:rsidRPr="00DC537D">
        <w:rPr>
          <w:b/>
          <w:lang w:val="en-US"/>
        </w:rPr>
        <w:t>BRD</w:t>
      </w:r>
      <w:r>
        <w:rPr>
          <w:lang w:val="en-US"/>
        </w:rPr>
        <w:t>) belonging to the Brilliant Power Corporation (</w:t>
      </w:r>
      <w:r w:rsidRPr="00DC537D">
        <w:rPr>
          <w:b/>
          <w:lang w:val="en-US"/>
        </w:rPr>
        <w:t>BPC</w:t>
      </w:r>
      <w:r>
        <w:rPr>
          <w:lang w:val="en-US"/>
        </w:rPr>
        <w:t xml:space="preserve">), which are located close to </w:t>
      </w:r>
      <w:r>
        <w:rPr>
          <w:lang w:val="en-US"/>
        </w:rPr>
        <w:lastRenderedPageBreak/>
        <w:t xml:space="preserve">the Company’s plants. Because BRD is also a CPA entitlement plant, the BRD output is also hydrology risk free, but subject to outages. Table B1 in Appendix B shows the entitlement capacity for the Company’s own and contracted generators.  FBC has also contracted to purchase entitlement capacity from the Waneta Expansion (WAX) project, which is also a CPA entitlement plant </w:t>
      </w:r>
      <w:r w:rsidR="00615050">
        <w:rPr>
          <w:lang w:val="en-US"/>
        </w:rPr>
        <w:t>that</w:t>
      </w:r>
      <w:r>
        <w:rPr>
          <w:lang w:val="en-US"/>
        </w:rPr>
        <w:t xml:space="preserve"> is expected to come into service by the second quarter of 2015.  WAX is discussed further in section 2.1.3.  In order to assess the availability of its generation units, FBC reviewed their historical performance.  FBC’s Upgrade and Life Extension Program (</w:t>
      </w:r>
      <w:r w:rsidRPr="00DC537D">
        <w:rPr>
          <w:b/>
          <w:lang w:val="en-US"/>
        </w:rPr>
        <w:t>ULE</w:t>
      </w:r>
      <w:r>
        <w:rPr>
          <w:lang w:val="en-US"/>
        </w:rPr>
        <w:t>), completed in 2012, has extended the lives of 11 of the Company’s 15 generating units through its course of maintenance and refurbishment programs. Only four small (5 MW) units at the Upper Bonnington plant were not under the ULE.  The majority of ULE work was done in the 1995-2008 period, therefore it is more reasonable to use historical outage data after 2008 to estimate the plants’ expected forced outage rates (FOR)</w:t>
      </w:r>
      <w:r w:rsidRPr="005A128B">
        <w:rPr>
          <w:rStyle w:val="FootnoteReference"/>
          <w:lang w:val="en-US"/>
        </w:rPr>
        <w:t xml:space="preserve"> </w:t>
      </w:r>
      <w:r>
        <w:rPr>
          <w:rStyle w:val="FootnoteReference"/>
          <w:lang w:val="en-US"/>
        </w:rPr>
        <w:footnoteReference w:id="20"/>
      </w:r>
      <w:r>
        <w:rPr>
          <w:lang w:val="en-US"/>
        </w:rPr>
        <w:t>. Each generator’s average FOR from the 2008-2011 period</w:t>
      </w:r>
      <w:r w:rsidRPr="00952DC7">
        <w:rPr>
          <w:lang w:val="en-US"/>
        </w:rPr>
        <w:t xml:space="preserve"> </w:t>
      </w:r>
      <w:r>
        <w:rPr>
          <w:lang w:val="en-US"/>
        </w:rPr>
        <w:t xml:space="preserve">is then used to set </w:t>
      </w:r>
      <w:r w:rsidR="00D41A4B">
        <w:rPr>
          <w:lang w:val="en-US"/>
        </w:rPr>
        <w:t>the</w:t>
      </w:r>
      <w:r>
        <w:rPr>
          <w:lang w:val="en-US"/>
        </w:rPr>
        <w:t xml:space="preserve"> expected FOR </w:t>
      </w:r>
      <w:r w:rsidR="00D41A4B">
        <w:rPr>
          <w:lang w:val="en-US"/>
        </w:rPr>
        <w:t xml:space="preserve">for that generator </w:t>
      </w:r>
      <w:r>
        <w:rPr>
          <w:lang w:val="en-US"/>
        </w:rPr>
        <w:t>in the MC simulation. These generators’ average outages are found in Table B2 and their collective maintenance schedules are in Table B3.</w:t>
      </w:r>
    </w:p>
    <w:p w14:paraId="078B420D" w14:textId="5B75238B" w:rsidR="00EF1D77" w:rsidRDefault="00EF1D77" w:rsidP="00EF1D77">
      <w:pPr>
        <w:rPr>
          <w:lang w:val="en-US"/>
        </w:rPr>
      </w:pPr>
      <w:r>
        <w:rPr>
          <w:lang w:val="en-US"/>
        </w:rPr>
        <w:t>The large majority of historical forced outage durations were less than one day as shown in Table B2. Two generators G1 and G3 in the Upper Bonnington plant, which are of small size (about 5 MW) and were not covered in the ULE, have a larger portion of forced outages lasting more than a day. However, due to their small size, for simulation purposes it was assumed that all generator f</w:t>
      </w:r>
      <w:r w:rsidRPr="00700464">
        <w:rPr>
          <w:lang w:val="en-US"/>
        </w:rPr>
        <w:t xml:space="preserve">orced outages </w:t>
      </w:r>
      <w:r>
        <w:rPr>
          <w:lang w:val="en-US"/>
        </w:rPr>
        <w:t xml:space="preserve">will </w:t>
      </w:r>
      <w:r w:rsidRPr="00700464">
        <w:rPr>
          <w:lang w:val="en-US"/>
        </w:rPr>
        <w:t xml:space="preserve">last for less than </w:t>
      </w:r>
      <w:r>
        <w:rPr>
          <w:lang w:val="en-US"/>
        </w:rPr>
        <w:t>one</w:t>
      </w:r>
      <w:r w:rsidRPr="00700464">
        <w:rPr>
          <w:lang w:val="en-US"/>
        </w:rPr>
        <w:t xml:space="preserve"> day</w:t>
      </w:r>
      <w:r w:rsidR="00193861">
        <w:rPr>
          <w:lang w:val="en-US"/>
        </w:rPr>
        <w:t>.</w:t>
      </w:r>
      <w:r>
        <w:rPr>
          <w:lang w:val="en-US"/>
        </w:rPr>
        <w:t xml:space="preserve"> </w:t>
      </w:r>
    </w:p>
    <w:p w14:paraId="0471B28F" w14:textId="63A448C7" w:rsidR="00EF1D77" w:rsidRPr="0054077C" w:rsidRDefault="00EF1D77" w:rsidP="00EF1D77">
      <w:pPr>
        <w:pStyle w:val="Heading3"/>
      </w:pPr>
      <w:bookmarkStart w:id="26" w:name="_Toc355786952"/>
      <w:bookmarkStart w:id="27" w:name="_Toc383170514"/>
      <w:bookmarkStart w:id="28" w:name="_Toc426649348"/>
      <w:r w:rsidRPr="0054077C">
        <w:t>Power Purchase Agreement, PowerEx, and Brilliant Ex</w:t>
      </w:r>
      <w:r>
        <w:t>pansion</w:t>
      </w:r>
      <w:r w:rsidRPr="0054077C">
        <w:t xml:space="preserve"> Capacity</w:t>
      </w:r>
      <w:bookmarkEnd w:id="26"/>
      <w:bookmarkEnd w:id="27"/>
      <w:bookmarkEnd w:id="28"/>
    </w:p>
    <w:p w14:paraId="18DBD684" w14:textId="77777777" w:rsidR="00EF1D77" w:rsidRDefault="00EF1D77" w:rsidP="00EF1D77">
      <w:pPr>
        <w:rPr>
          <w:lang w:val="en-US"/>
        </w:rPr>
      </w:pPr>
      <w:r>
        <w:rPr>
          <w:lang w:val="en-US"/>
        </w:rPr>
        <w:t>In addition to the CPA entitlement capacity, the Company has also entered into a Power Purchase Agreement (</w:t>
      </w:r>
      <w:r w:rsidRPr="00DC537D">
        <w:rPr>
          <w:b/>
          <w:lang w:val="en-US"/>
        </w:rPr>
        <w:t>PPA</w:t>
      </w:r>
      <w:r>
        <w:rPr>
          <w:lang w:val="en-US"/>
        </w:rPr>
        <w:t xml:space="preserve">) with BCH. The recently approved New PPA (as per the Commission’s Order G-60-14 issued on May 6, 2014) ensures capacity purchases of up to 200MW at any time. Given the resources of BCH </w:t>
      </w:r>
      <w:r>
        <w:rPr>
          <w:lang w:val="en-US"/>
        </w:rPr>
        <w:lastRenderedPageBreak/>
        <w:t>and the number of interconnection points, the 200MW PPA capacity is considered 100% available (i.e. FOR=0%). Because the PPA contract terminates in 2033 and significant changes in the Company’s resources may occur after that, this PRM study covers the period up to 2033 only.</w:t>
      </w:r>
    </w:p>
    <w:p w14:paraId="44C15321" w14:textId="77777777" w:rsidR="00EF1D77" w:rsidRDefault="00EF1D77" w:rsidP="00EF1D77">
      <w:pPr>
        <w:rPr>
          <w:lang w:val="en-US"/>
        </w:rPr>
      </w:pPr>
      <w:r w:rsidRPr="008B288E">
        <w:rPr>
          <w:lang w:val="en-US"/>
        </w:rPr>
        <w:t xml:space="preserve">Other capacity resources include </w:t>
      </w:r>
      <w:r>
        <w:rPr>
          <w:lang w:val="en-US"/>
        </w:rPr>
        <w:t xml:space="preserve">two separate </w:t>
      </w:r>
      <w:r w:rsidRPr="008B288E">
        <w:rPr>
          <w:lang w:val="en-US"/>
        </w:rPr>
        <w:t>firm capacity block</w:t>
      </w:r>
      <w:r>
        <w:rPr>
          <w:lang w:val="en-US"/>
        </w:rPr>
        <w:t xml:space="preserve"> contracts</w:t>
      </w:r>
      <w:r w:rsidRPr="008B288E">
        <w:rPr>
          <w:lang w:val="en-US"/>
        </w:rPr>
        <w:t xml:space="preserve"> </w:t>
      </w:r>
      <w:r>
        <w:rPr>
          <w:lang w:val="en-US"/>
        </w:rPr>
        <w:t>(FOR 0%),</w:t>
      </w:r>
      <w:r w:rsidRPr="008B288E">
        <w:rPr>
          <w:lang w:val="en-US"/>
        </w:rPr>
        <w:t xml:space="preserve"> from PowerEx for the winter months </w:t>
      </w:r>
      <w:r>
        <w:rPr>
          <w:lang w:val="en-US"/>
        </w:rPr>
        <w:t>of</w:t>
      </w:r>
      <w:r w:rsidRPr="008B288E">
        <w:rPr>
          <w:lang w:val="en-US"/>
        </w:rPr>
        <w:t xml:space="preserve"> 2012-2015</w:t>
      </w:r>
      <w:r>
        <w:rPr>
          <w:lang w:val="en-US"/>
        </w:rPr>
        <w:t xml:space="preserve"> and 2013-2015, and </w:t>
      </w:r>
      <w:r w:rsidRPr="008B288E">
        <w:rPr>
          <w:lang w:val="en-US"/>
        </w:rPr>
        <w:t>entitlement capacity with energy from the Brilliant Ex</w:t>
      </w:r>
      <w:r>
        <w:rPr>
          <w:lang w:val="en-US"/>
        </w:rPr>
        <w:t>pansion</w:t>
      </w:r>
      <w:r w:rsidRPr="008B288E">
        <w:rPr>
          <w:lang w:val="en-US"/>
        </w:rPr>
        <w:t xml:space="preserve"> plant from January 2013 to December 2017</w:t>
      </w:r>
      <w:r>
        <w:rPr>
          <w:lang w:val="en-US"/>
        </w:rPr>
        <w:t xml:space="preserve"> (</w:t>
      </w:r>
      <w:r w:rsidRPr="008B288E">
        <w:rPr>
          <w:lang w:val="en-US"/>
        </w:rPr>
        <w:t>with its assumed FOR calculated over the same 2008-2011 period</w:t>
      </w:r>
      <w:r>
        <w:rPr>
          <w:lang w:val="en-US"/>
        </w:rPr>
        <w:t>).</w:t>
      </w:r>
    </w:p>
    <w:p w14:paraId="479EF646" w14:textId="77777777" w:rsidR="00EF1D77" w:rsidRPr="0054077C" w:rsidRDefault="00EF1D77" w:rsidP="00EF1D77">
      <w:pPr>
        <w:pStyle w:val="Heading3"/>
      </w:pPr>
      <w:bookmarkStart w:id="29" w:name="_Toc355786953"/>
      <w:bookmarkStart w:id="30" w:name="_Toc383170515"/>
      <w:bookmarkStart w:id="31" w:name="_Toc426649349"/>
      <w:r w:rsidRPr="0054077C">
        <w:t>WAX Capacity</w:t>
      </w:r>
      <w:bookmarkEnd w:id="29"/>
      <w:bookmarkEnd w:id="30"/>
      <w:bookmarkEnd w:id="31"/>
    </w:p>
    <w:p w14:paraId="385ABABD" w14:textId="276779FF" w:rsidR="00EF1D77" w:rsidRDefault="00EF1D77" w:rsidP="00EF1D77">
      <w:pPr>
        <w:rPr>
          <w:lang w:val="en-US"/>
        </w:rPr>
      </w:pPr>
      <w:r>
        <w:rPr>
          <w:lang w:val="en-US"/>
        </w:rPr>
        <w:t>The Company receive</w:t>
      </w:r>
      <w:r w:rsidR="00643F99">
        <w:rPr>
          <w:lang w:val="en-US"/>
        </w:rPr>
        <w:t>s</w:t>
      </w:r>
      <w:r>
        <w:rPr>
          <w:lang w:val="en-US"/>
        </w:rPr>
        <w:t xml:space="preserve"> capacity blocks from the Waneta Expansion (WAX) project </w:t>
      </w:r>
      <w:r w:rsidR="00643F99">
        <w:rPr>
          <w:lang w:val="en-US"/>
        </w:rPr>
        <w:t xml:space="preserve">which </w:t>
      </w:r>
      <w:r>
        <w:rPr>
          <w:lang w:val="en-US"/>
        </w:rPr>
        <w:t>start</w:t>
      </w:r>
      <w:r w:rsidR="00643F99">
        <w:rPr>
          <w:lang w:val="en-US"/>
        </w:rPr>
        <w:t>ed</w:t>
      </w:r>
      <w:r>
        <w:rPr>
          <w:lang w:val="en-US"/>
        </w:rPr>
        <w:t xml:space="preserve"> in the </w:t>
      </w:r>
      <w:r w:rsidR="00643F99">
        <w:rPr>
          <w:lang w:val="en-US"/>
        </w:rPr>
        <w:t>s</w:t>
      </w:r>
      <w:r>
        <w:rPr>
          <w:lang w:val="en-US"/>
        </w:rPr>
        <w:t>pring of 2015. These blocks are CPA entitlement and are capacity only. The Company receives WAX entitlement capacity from two WAX units with a capacity of 165 MW each as shown in Appendix B, Table B-1. A 10-year overhaul for one unit is assumed in October 2024 and another one in October 2025. During these months, FBC will not have access to the whole WAX unit’s capacity. There are also projections of other maintenance for WAX</w:t>
      </w:r>
      <w:r w:rsidRPr="008F2391">
        <w:rPr>
          <w:lang w:val="en-US"/>
        </w:rPr>
        <w:t xml:space="preserve"> </w:t>
      </w:r>
      <w:r>
        <w:rPr>
          <w:lang w:val="en-US"/>
        </w:rPr>
        <w:t xml:space="preserve">as shown in Appendix B, Table B-3. </w:t>
      </w:r>
    </w:p>
    <w:p w14:paraId="0BBAC04D" w14:textId="0470C912" w:rsidR="00EF1D77" w:rsidRDefault="00EF1D77" w:rsidP="00EF1D77">
      <w:pPr>
        <w:rPr>
          <w:lang w:val="en-US"/>
        </w:rPr>
      </w:pPr>
      <w:r>
        <w:rPr>
          <w:lang w:val="en-US"/>
        </w:rPr>
        <w:t xml:space="preserve">Since WAX is a new unit with no performance record, predicting WAX’s FOR is not straightforward. However, for the purposes of this simulation, it is assumed that the WAX unit performance will not be different from the performance of the units at the existing Waneta plant (P6) and therefore WAX’s FOR is assumed at 0.25%, close to P6’s average FOR of 0.24%.   It was also assumed that the forced outage rate could be higher in the early years of operation of the new facility, hence the FOR in 2015-2019 is assumed to be two times higher than its expected long-term FOR, i.e. 0.5%.  WAX’s forced outages are assumed to last for more than one hour but less than one day, similar to P6’s past forced outage record. </w:t>
      </w:r>
    </w:p>
    <w:p w14:paraId="16700312" w14:textId="77777777" w:rsidR="00EF1D77" w:rsidRDefault="00EF1D77" w:rsidP="00EF1D77">
      <w:pPr>
        <w:rPr>
          <w:lang w:val="en-US"/>
        </w:rPr>
      </w:pPr>
      <w:bookmarkStart w:id="32" w:name="_Toc355786954"/>
      <w:r>
        <w:rPr>
          <w:lang w:val="en-US"/>
        </w:rPr>
        <w:lastRenderedPageBreak/>
        <w:t>FBC has received approval of the Residual Capacity Agreement (RCA)</w:t>
      </w:r>
      <w:r w:rsidRPr="008D4B91">
        <w:rPr>
          <w:rStyle w:val="FootnoteReference"/>
          <w:lang w:val="en-US"/>
        </w:rPr>
        <w:t xml:space="preserve"> </w:t>
      </w:r>
      <w:r>
        <w:rPr>
          <w:lang w:val="en-US"/>
        </w:rPr>
        <w:t>to sell to BC Hydro unit-contingent</w:t>
      </w:r>
      <w:r>
        <w:rPr>
          <w:rStyle w:val="FootnoteReference"/>
          <w:lang w:val="en-US"/>
        </w:rPr>
        <w:footnoteReference w:id="21"/>
      </w:r>
      <w:r>
        <w:rPr>
          <w:lang w:val="en-US"/>
        </w:rPr>
        <w:t xml:space="preserve"> WAX capacity blocks of up to 50MW for all months (i.e. typically 50 MW except in June where the WAX capacity available to FBC is less than 50MW) for the 2015-2024 period. As a result, for the purposes of the simulation, these monthly blocks are subtracted from the WAX entitlement capacity for FBC before any other usage. Appendix B, Table B-4 displays WAX capacity after the reduction for the 50 MW block capacity sale to BCH.  </w:t>
      </w:r>
    </w:p>
    <w:p w14:paraId="6CEA74FC" w14:textId="47BFF84A" w:rsidR="00A01CD8" w:rsidRDefault="00EF1D77" w:rsidP="00EF1D77">
      <w:pPr>
        <w:rPr>
          <w:lang w:val="en-US"/>
        </w:rPr>
      </w:pPr>
      <w:r>
        <w:rPr>
          <w:lang w:val="en-US"/>
        </w:rPr>
        <w:t xml:space="preserve">On a planning basis the remaining capacity is then used to meet the expected </w:t>
      </w:r>
      <w:r w:rsidR="00BD495F">
        <w:rPr>
          <w:lang w:val="en-US"/>
        </w:rPr>
        <w:t xml:space="preserve">monthly </w:t>
      </w:r>
      <w:r>
        <w:rPr>
          <w:lang w:val="en-US"/>
        </w:rPr>
        <w:t xml:space="preserve">load as the </w:t>
      </w:r>
      <w:r w:rsidR="00BD495F">
        <w:rPr>
          <w:lang w:val="en-US"/>
        </w:rPr>
        <w:t xml:space="preserve">marginal (last) </w:t>
      </w:r>
      <w:r>
        <w:rPr>
          <w:lang w:val="en-US"/>
        </w:rPr>
        <w:t>resource to dispatch (after FBC’s own and contracted resources, including the PPA)</w:t>
      </w:r>
      <w:r w:rsidR="00BD495F">
        <w:rPr>
          <w:lang w:val="en-US"/>
        </w:rPr>
        <w:t>.</w:t>
      </w:r>
      <w:r>
        <w:rPr>
          <w:lang w:val="en-US"/>
        </w:rPr>
        <w:t xml:space="preserve"> </w:t>
      </w:r>
      <w:r w:rsidR="00BD495F">
        <w:rPr>
          <w:lang w:val="en-US"/>
        </w:rPr>
        <w:t>The remain</w:t>
      </w:r>
      <w:r w:rsidR="00F17A36">
        <w:rPr>
          <w:lang w:val="en-US"/>
        </w:rPr>
        <w:t>ing</w:t>
      </w:r>
      <w:r w:rsidR="00BD495F">
        <w:rPr>
          <w:lang w:val="en-US"/>
        </w:rPr>
        <w:t xml:space="preserve"> WAX capacity is </w:t>
      </w:r>
      <w:r>
        <w:rPr>
          <w:lang w:val="en-US"/>
        </w:rPr>
        <w:t xml:space="preserve">surplus </w:t>
      </w:r>
      <w:r w:rsidR="00BD495F">
        <w:rPr>
          <w:lang w:val="en-US"/>
        </w:rPr>
        <w:t xml:space="preserve">and </w:t>
      </w:r>
      <w:r>
        <w:rPr>
          <w:lang w:val="en-US"/>
        </w:rPr>
        <w:t>is available to be sold</w:t>
      </w:r>
      <w:r w:rsidR="00B15212">
        <w:rPr>
          <w:lang w:val="en-US"/>
        </w:rPr>
        <w:t xml:space="preserve"> as a monthly block</w:t>
      </w:r>
      <w:r>
        <w:rPr>
          <w:lang w:val="en-US"/>
        </w:rPr>
        <w:t>.</w:t>
      </w:r>
      <w:r w:rsidR="00B15212">
        <w:rPr>
          <w:rStyle w:val="FootnoteReference"/>
          <w:lang w:val="en-US"/>
        </w:rPr>
        <w:footnoteReference w:id="22"/>
      </w:r>
      <w:r>
        <w:rPr>
          <w:lang w:val="en-US"/>
        </w:rPr>
        <w:t xml:space="preserve"> This sale is firm but it is also unit-contingent</w:t>
      </w:r>
      <w:r w:rsidR="00677B95">
        <w:rPr>
          <w:lang w:val="en-US"/>
        </w:rPr>
        <w:t xml:space="preserve"> (i.e. there will be no surplus sales if the unit fails)</w:t>
      </w:r>
      <w:r>
        <w:rPr>
          <w:lang w:val="en-US"/>
        </w:rPr>
        <w:t xml:space="preserve"> </w:t>
      </w:r>
      <w:r w:rsidR="00B15212">
        <w:rPr>
          <w:lang w:val="en-US"/>
        </w:rPr>
        <w:t>such that it</w:t>
      </w:r>
      <w:r>
        <w:rPr>
          <w:lang w:val="en-US"/>
        </w:rPr>
        <w:t xml:space="preserve"> does not have to be made up from other resources in the event of a WAX outage.  </w:t>
      </w:r>
      <w:r w:rsidR="00B15212">
        <w:rPr>
          <w:lang w:val="en-US"/>
        </w:rPr>
        <w:t>Since the sale is assumed to be for a month or more, i</w:t>
      </w:r>
      <w:r>
        <w:rPr>
          <w:lang w:val="en-US"/>
        </w:rPr>
        <w:t>t is not available for PRM</w:t>
      </w:r>
      <w:r w:rsidR="00B15212">
        <w:rPr>
          <w:lang w:val="en-US"/>
        </w:rPr>
        <w:t xml:space="preserve"> but</w:t>
      </w:r>
      <w:r>
        <w:rPr>
          <w:lang w:val="en-US"/>
        </w:rPr>
        <w:t xml:space="preserve"> in the event of a longer term outage or unexpected heavy load growth, it </w:t>
      </w:r>
      <w:r w:rsidR="00B15212">
        <w:rPr>
          <w:lang w:val="en-US"/>
        </w:rPr>
        <w:t>would</w:t>
      </w:r>
      <w:r>
        <w:rPr>
          <w:lang w:val="en-US"/>
        </w:rPr>
        <w:t xml:space="preserve"> be available once the term of the sale is completed.  </w:t>
      </w:r>
    </w:p>
    <w:p w14:paraId="62328CBF" w14:textId="6811BE5E" w:rsidR="00EF1D77" w:rsidRDefault="00B15212" w:rsidP="00EF1D77">
      <w:pPr>
        <w:rPr>
          <w:lang w:val="en-US"/>
        </w:rPr>
      </w:pPr>
      <w:r>
        <w:rPr>
          <w:lang w:val="en-US"/>
        </w:rPr>
        <w:t xml:space="preserve">Additional amounts of WAX capacity may be available </w:t>
      </w:r>
      <w:r w:rsidR="00F17A36">
        <w:rPr>
          <w:lang w:val="en-US"/>
        </w:rPr>
        <w:t>o</w:t>
      </w:r>
      <w:r>
        <w:rPr>
          <w:lang w:val="en-US"/>
        </w:rPr>
        <w:t>n non-peak days or in months when no block sale of surplus capacity was feasible. This additional capacity is available for PRM</w:t>
      </w:r>
      <w:r w:rsidR="00AF7F67">
        <w:rPr>
          <w:lang w:val="en-US"/>
        </w:rPr>
        <w:t xml:space="preserve"> and </w:t>
      </w:r>
      <w:r w:rsidR="00EF1D77">
        <w:rPr>
          <w:lang w:val="en-US"/>
        </w:rPr>
        <w:t xml:space="preserve">Scenario </w:t>
      </w:r>
      <w:r w:rsidR="00EE625B">
        <w:rPr>
          <w:lang w:val="en-US"/>
        </w:rPr>
        <w:t>6</w:t>
      </w:r>
      <w:r w:rsidR="00EF1D77">
        <w:rPr>
          <w:lang w:val="en-US"/>
        </w:rPr>
        <w:t xml:space="preserve"> examines</w:t>
      </w:r>
      <w:r w:rsidR="00AF7F67">
        <w:rPr>
          <w:lang w:val="en-US"/>
        </w:rPr>
        <w:t xml:space="preserve"> the case where this surplus capacity is</w:t>
      </w:r>
      <w:r w:rsidR="00EF1D77">
        <w:rPr>
          <w:lang w:val="en-US"/>
        </w:rPr>
        <w:t xml:space="preserve"> not available for PRM.</w:t>
      </w:r>
    </w:p>
    <w:p w14:paraId="484E78F7" w14:textId="77777777" w:rsidR="00EF1D77" w:rsidRPr="0054077C" w:rsidRDefault="00EF1D77" w:rsidP="00EF1D77">
      <w:pPr>
        <w:pStyle w:val="Heading3"/>
      </w:pPr>
      <w:bookmarkStart w:id="33" w:name="_Toc383170516"/>
      <w:bookmarkStart w:id="34" w:name="_Toc426649350"/>
      <w:r w:rsidRPr="0054077C">
        <w:t>Market Access</w:t>
      </w:r>
      <w:bookmarkEnd w:id="32"/>
      <w:bookmarkEnd w:id="33"/>
      <w:bookmarkEnd w:id="34"/>
    </w:p>
    <w:p w14:paraId="0583860F" w14:textId="043B2FD1" w:rsidR="00EF1D77" w:rsidRDefault="00EF1D77" w:rsidP="00EF1D77">
      <w:pPr>
        <w:rPr>
          <w:lang w:val="en-US"/>
        </w:rPr>
      </w:pPr>
      <w:r>
        <w:rPr>
          <w:lang w:val="en-US"/>
        </w:rPr>
        <w:t xml:space="preserve">FBC’s view is that reliance on market capacity to meet expected demand over the long term is not a prudent policy due to the uncertainty associated with both resource availability and market prices. This view is common among utilities. </w:t>
      </w:r>
      <w:r>
        <w:t>However, utilities that have access to market supply may consider market access as a supplemental resource to meet system requirements under unexpected conditions.</w:t>
      </w:r>
      <w:r>
        <w:rPr>
          <w:lang w:val="en-US"/>
        </w:rPr>
        <w:t xml:space="preserve"> This market capacity would only be called</w:t>
      </w:r>
      <w:r w:rsidR="00F17A36">
        <w:rPr>
          <w:lang w:val="en-US"/>
        </w:rPr>
        <w:t xml:space="preserve"> upon</w:t>
      </w:r>
      <w:r>
        <w:rPr>
          <w:lang w:val="en-US"/>
        </w:rPr>
        <w:t xml:space="preserve"> in case of </w:t>
      </w:r>
      <w:r>
        <w:rPr>
          <w:lang w:val="en-US"/>
        </w:rPr>
        <w:lastRenderedPageBreak/>
        <w:t>contingencies w</w:t>
      </w:r>
      <w:r w:rsidR="00F17A36">
        <w:rPr>
          <w:lang w:val="en-US"/>
        </w:rPr>
        <w:t>here</w:t>
      </w:r>
      <w:r>
        <w:rPr>
          <w:lang w:val="en-US"/>
        </w:rPr>
        <w:t xml:space="preserve"> a utility’s own and contracted resources are not sufficient to meet load. Since peak loads only occur for a few hours of the month it is expected that any such market usage would be quite limited even if the shortfall occurred over a longer time frame. In practice, utilities’ opinions differ substantially on relying on market imports for resource adequacy purposes, as reported in the NERC 2011 Long-term Reliability Assessment</w:t>
      </w:r>
      <w:r>
        <w:rPr>
          <w:rStyle w:val="FootnoteReference"/>
          <w:lang w:val="en-US"/>
        </w:rPr>
        <w:footnoteReference w:id="23"/>
      </w:r>
      <w:r>
        <w:rPr>
          <w:lang w:val="en-US"/>
        </w:rPr>
        <w:t>. Nevertheless, some of FBC’s neighboring utilities like AESO, Avista, Northwestern Energy, Idaho Power, and BCH (up to 2016) count market capacity as a</w:t>
      </w:r>
      <w:r w:rsidR="00F17A36">
        <w:rPr>
          <w:lang w:val="en-US"/>
        </w:rPr>
        <w:t xml:space="preserve"> supplemental resource.</w:t>
      </w:r>
      <w:r>
        <w:rPr>
          <w:lang w:val="en-US"/>
        </w:rPr>
        <w:t xml:space="preserve"> </w:t>
      </w:r>
    </w:p>
    <w:p w14:paraId="21BA9743" w14:textId="6F48E652" w:rsidR="00EF1D77" w:rsidRDefault="00EF1D77" w:rsidP="00EF1D77">
      <w:pPr>
        <w:rPr>
          <w:lang w:val="en-US"/>
        </w:rPr>
      </w:pPr>
      <w:r>
        <w:rPr>
          <w:lang w:val="en-US"/>
        </w:rPr>
        <w:t>FBC is able to import electricity from the Mid-C market via transmission line 71 connected to Teck’s Waneta plant, as well as through the BC Hydro transmission system. For the purposes of this PRM study, the conservative assumption is that only market capacity imported through line 71 is considered. Line 71 has a transmission capacity of 370 MW but Teck has priority over FBC for use of this line.  Therefore, the Company only has reliable access to the market of about 150 MW over Line 71. Line 71 may also be inaccessible for the Company due to major maintenance. This maintenance can be for up to a month with a frequency of around once per ten years, and it was treated as a random variable in the MC simulation.</w:t>
      </w:r>
    </w:p>
    <w:p w14:paraId="2A6B9099" w14:textId="77777777" w:rsidR="000B3615" w:rsidRDefault="00EF1D77" w:rsidP="00EF1D77">
      <w:pPr>
        <w:rPr>
          <w:lang w:val="en-US"/>
        </w:rPr>
      </w:pPr>
      <w:r>
        <w:rPr>
          <w:lang w:val="en-US"/>
        </w:rPr>
        <w:t xml:space="preserve">There are two types of risks associated with the market capacity: (1) transmission forced outages and (2) market availability. An internal study on forced outages of transmission lines in the 2000-2011 period shows that the average forced outage rate for transmission was very small, only 0.74% (Appendix B, Table B-2). </w:t>
      </w:r>
    </w:p>
    <w:p w14:paraId="04DC1E19" w14:textId="77777777" w:rsidR="000B3615" w:rsidRDefault="00EF1D77" w:rsidP="000B3615">
      <w:pPr>
        <w:rPr>
          <w:lang w:val="en-US"/>
        </w:rPr>
      </w:pPr>
      <w:r>
        <w:rPr>
          <w:lang w:val="en-US"/>
        </w:rPr>
        <w:t xml:space="preserve">The market availability is much harder to evaluate. There is a risk of a competition among utilities for the market capacity during a cold snap and hence the Company might not be able to purchase on the spot market. There is also a risk of unreasonably high prices when the spot market is called for. While PRM does not consider price a factor in availability, prolonged prices at high levels can result in increased costs to customers.  However, this is primarily an energy supply cost risk and is outside the scope of this study.  Market unavailability has </w:t>
      </w:r>
      <w:r>
        <w:rPr>
          <w:lang w:val="en-US"/>
        </w:rPr>
        <w:lastRenderedPageBreak/>
        <w:t xml:space="preserve">happened to the Company’s operation on a few rare occasions. This likelihood is considered quite small as the majority of WECC members are summer peaking utilities while FBC is a winter peaking utility. </w:t>
      </w:r>
      <w:r w:rsidR="000B3615">
        <w:rPr>
          <w:lang w:val="en-US"/>
        </w:rPr>
        <w:t>T</w:t>
      </w:r>
      <w:r w:rsidRPr="000B483F">
        <w:rPr>
          <w:lang w:val="en-US"/>
        </w:rPr>
        <w:t xml:space="preserve">he Company believes it is acceptable to include </w:t>
      </w:r>
      <w:r>
        <w:rPr>
          <w:lang w:val="en-US"/>
        </w:rPr>
        <w:t>limited access to</w:t>
      </w:r>
      <w:r w:rsidRPr="000B483F">
        <w:rPr>
          <w:lang w:val="en-US"/>
        </w:rPr>
        <w:t xml:space="preserve"> market</w:t>
      </w:r>
      <w:r>
        <w:rPr>
          <w:lang w:val="en-US"/>
        </w:rPr>
        <w:t xml:space="preserve"> supply</w:t>
      </w:r>
      <w:r w:rsidRPr="000B483F">
        <w:rPr>
          <w:lang w:val="en-US"/>
        </w:rPr>
        <w:t xml:space="preserve"> as a</w:t>
      </w:r>
      <w:r>
        <w:rPr>
          <w:lang w:val="en-US"/>
        </w:rPr>
        <w:t xml:space="preserve">n available </w:t>
      </w:r>
      <w:r w:rsidRPr="000B483F">
        <w:rPr>
          <w:lang w:val="en-US"/>
        </w:rPr>
        <w:t>resource</w:t>
      </w:r>
      <w:r>
        <w:rPr>
          <w:lang w:val="en-US"/>
        </w:rPr>
        <w:t xml:space="preserve"> when assessing resource adequacy</w:t>
      </w:r>
      <w:r w:rsidR="000B3615">
        <w:rPr>
          <w:lang w:val="en-US"/>
        </w:rPr>
        <w:t xml:space="preserve"> at a risk of being unavailable of 0.74%, representing the risk of the transmission forced outage rate</w:t>
      </w:r>
      <w:r w:rsidRPr="000B483F">
        <w:rPr>
          <w:lang w:val="en-US"/>
        </w:rPr>
        <w:t>.</w:t>
      </w:r>
      <w:r w:rsidR="000B3615">
        <w:rPr>
          <w:lang w:val="en-US"/>
        </w:rPr>
        <w:t xml:space="preserve"> This will be referred to as the market equivalent FOR.</w:t>
      </w:r>
      <w:r w:rsidRPr="000B483F">
        <w:rPr>
          <w:lang w:val="en-US"/>
        </w:rPr>
        <w:t xml:space="preserve"> </w:t>
      </w:r>
      <w:r>
        <w:rPr>
          <w:lang w:val="en-US"/>
        </w:rPr>
        <w:t xml:space="preserve">Impacts of possible higher market risks are discussed in the sensitivity analysis discussion in Section 3. </w:t>
      </w:r>
    </w:p>
    <w:p w14:paraId="2EC9A411" w14:textId="08055BE6" w:rsidR="005F3AE3" w:rsidRDefault="000B3615" w:rsidP="000B3615">
      <w:pPr>
        <w:pStyle w:val="Heading3"/>
      </w:pPr>
      <w:bookmarkStart w:id="35" w:name="_Toc426649351"/>
      <w:r>
        <w:t>Regulating Reserve and Contingency Reserve Obligations</w:t>
      </w:r>
      <w:bookmarkEnd w:id="35"/>
    </w:p>
    <w:p w14:paraId="3A838410" w14:textId="4C218538" w:rsidR="00EF1D77" w:rsidRDefault="00EF1D77" w:rsidP="00EF1D77">
      <w:pPr>
        <w:rPr>
          <w:lang w:val="en-US"/>
        </w:rPr>
      </w:pPr>
      <w:r>
        <w:rPr>
          <w:lang w:val="en-US"/>
        </w:rPr>
        <w:t xml:space="preserve">The Company reserves a certain percentage of its capacity for regulating and contingency purposes. This reserved capacity cannot be counted on to meet expected load for planning purposes as discussed in Section </w:t>
      </w:r>
      <w:r w:rsidR="00E13788">
        <w:rPr>
          <w:lang w:val="en-US"/>
        </w:rPr>
        <w:t>1</w:t>
      </w:r>
      <w:r>
        <w:rPr>
          <w:lang w:val="en-US"/>
        </w:rPr>
        <w:t xml:space="preserve">.1. </w:t>
      </w:r>
    </w:p>
    <w:p w14:paraId="34EE98F8" w14:textId="3F9E4C9C" w:rsidR="00E13788" w:rsidRDefault="00EF1D77" w:rsidP="00EF1D77">
      <w:pPr>
        <w:rPr>
          <w:lang w:val="en-US"/>
        </w:rPr>
      </w:pPr>
      <w:r>
        <w:rPr>
          <w:lang w:val="en-US"/>
        </w:rPr>
        <w:t>FBC and BCH are both members in the Northwest Power Pool (</w:t>
      </w:r>
      <w:r w:rsidRPr="00DC537D">
        <w:rPr>
          <w:b/>
          <w:lang w:val="en-US"/>
        </w:rPr>
        <w:t>NWPP</w:t>
      </w:r>
      <w:r>
        <w:rPr>
          <w:lang w:val="en-US"/>
        </w:rPr>
        <w:t>), which is a contingency reserve sharing group for utilities in the northwest region.</w:t>
      </w:r>
      <w:r>
        <w:rPr>
          <w:rStyle w:val="FootnoteReference"/>
          <w:lang w:val="en-US"/>
        </w:rPr>
        <w:footnoteReference w:id="24"/>
      </w:r>
      <w:r>
        <w:rPr>
          <w:lang w:val="en-US"/>
        </w:rPr>
        <w:t xml:space="preserve"> The NWPP pools all reserve contributions from its members according to their load and generation attributes and </w:t>
      </w:r>
      <w:r w:rsidR="004C4A1F">
        <w:rPr>
          <w:lang w:val="en-US"/>
        </w:rPr>
        <w:t xml:space="preserve">if a contingency is beyond the resources of the utility experiencing an event, reserves are </w:t>
      </w:r>
      <w:r>
        <w:rPr>
          <w:lang w:val="en-US"/>
        </w:rPr>
        <w:t>allocate</w:t>
      </w:r>
      <w:r w:rsidR="004C4A1F">
        <w:rPr>
          <w:lang w:val="en-US"/>
        </w:rPr>
        <w:t>d to</w:t>
      </w:r>
      <w:r>
        <w:rPr>
          <w:lang w:val="en-US"/>
        </w:rPr>
        <w:t xml:space="preserve"> them </w:t>
      </w:r>
      <w:r w:rsidR="004C4A1F">
        <w:rPr>
          <w:lang w:val="en-US"/>
        </w:rPr>
        <w:t>from the other members of the NWPP.</w:t>
      </w:r>
      <w:r>
        <w:rPr>
          <w:lang w:val="en-US"/>
        </w:rPr>
        <w:t xml:space="preserve"> The biggest advantage of the NWPP is that each individual utility member </w:t>
      </w:r>
      <w:r w:rsidR="00E13788">
        <w:rPr>
          <w:lang w:val="en-US"/>
        </w:rPr>
        <w:t>is not required</w:t>
      </w:r>
      <w:r>
        <w:rPr>
          <w:lang w:val="en-US"/>
        </w:rPr>
        <w:t xml:space="preserve"> to hold reserves to deal with its most severe single contingency. This is of great benefit to the Company after WAX comes online because of the high single unit capacity of each of WAX’s generators. </w:t>
      </w:r>
    </w:p>
    <w:p w14:paraId="17BC884C" w14:textId="053BFB74" w:rsidR="000820C8" w:rsidRDefault="00E13788" w:rsidP="00EF1D77">
      <w:pPr>
        <w:rPr>
          <w:lang w:val="en-US"/>
        </w:rPr>
      </w:pPr>
      <w:r>
        <w:rPr>
          <w:lang w:val="en-US"/>
        </w:rPr>
        <w:t>Under the CPA, the Company sets 2% of its generation capacity to regulate frequency. In addition, t</w:t>
      </w:r>
      <w:r w:rsidR="00EF1D77">
        <w:rPr>
          <w:lang w:val="en-US"/>
        </w:rPr>
        <w:t xml:space="preserve">he Company’s contingency reserve obligation to the NWPP comprises 5% of its own and the BRD and WAX contracted capacity. </w:t>
      </w:r>
      <w:r>
        <w:rPr>
          <w:lang w:val="en-US"/>
        </w:rPr>
        <w:t>T</w:t>
      </w:r>
      <w:r w:rsidR="00EF1D77">
        <w:rPr>
          <w:lang w:val="en-US"/>
        </w:rPr>
        <w:t xml:space="preserve">he first 60 minutes </w:t>
      </w:r>
      <w:r>
        <w:rPr>
          <w:lang w:val="en-US"/>
        </w:rPr>
        <w:t>of a contingency can</w:t>
      </w:r>
      <w:r w:rsidR="00EF1D77">
        <w:rPr>
          <w:lang w:val="en-US"/>
        </w:rPr>
        <w:t xml:space="preserve"> be covered by </w:t>
      </w:r>
      <w:r>
        <w:rPr>
          <w:lang w:val="en-US"/>
        </w:rPr>
        <w:t>contingency reserves.</w:t>
      </w:r>
      <w:r w:rsidR="00EF1D77">
        <w:rPr>
          <w:lang w:val="en-US"/>
        </w:rPr>
        <w:t xml:space="preserve"> </w:t>
      </w:r>
      <w:r>
        <w:rPr>
          <w:lang w:val="en-US"/>
        </w:rPr>
        <w:t xml:space="preserve"> After 60 minutes the contingency reserves </w:t>
      </w:r>
      <w:r w:rsidR="00EF1D77">
        <w:rPr>
          <w:lang w:val="en-US"/>
        </w:rPr>
        <w:t>must be restored</w:t>
      </w:r>
      <w:r>
        <w:rPr>
          <w:lang w:val="en-US"/>
        </w:rPr>
        <w:t xml:space="preserve">. </w:t>
      </w:r>
      <w:r w:rsidR="000820C8">
        <w:rPr>
          <w:lang w:val="en-US"/>
        </w:rPr>
        <w:t xml:space="preserve">Given </w:t>
      </w:r>
      <w:r w:rsidR="00EF1D77">
        <w:rPr>
          <w:lang w:val="en-US"/>
        </w:rPr>
        <w:t xml:space="preserve">the Company’s membership </w:t>
      </w:r>
      <w:r w:rsidR="000820C8">
        <w:rPr>
          <w:lang w:val="en-US"/>
        </w:rPr>
        <w:t>in</w:t>
      </w:r>
      <w:r w:rsidR="00EF1D77">
        <w:rPr>
          <w:lang w:val="en-US"/>
        </w:rPr>
        <w:t xml:space="preserve"> the NWPP, forced outages last</w:t>
      </w:r>
      <w:r w:rsidR="000820C8">
        <w:rPr>
          <w:lang w:val="en-US"/>
        </w:rPr>
        <w:t>ing</w:t>
      </w:r>
      <w:r w:rsidR="00EF1D77">
        <w:rPr>
          <w:lang w:val="en-US"/>
        </w:rPr>
        <w:t xml:space="preserve"> for less than one hour </w:t>
      </w:r>
      <w:r w:rsidR="000820C8">
        <w:rPr>
          <w:lang w:val="en-US"/>
        </w:rPr>
        <w:t>are</w:t>
      </w:r>
      <w:r w:rsidR="00EF1D77">
        <w:rPr>
          <w:lang w:val="en-US"/>
        </w:rPr>
        <w:t xml:space="preserve"> not included in this analysis. The likelihood of the outage being less than an hour is set for each generator at its historical percentage of forced outages that </w:t>
      </w:r>
      <w:r w:rsidR="00EF1D77">
        <w:rPr>
          <w:lang w:val="en-US"/>
        </w:rPr>
        <w:lastRenderedPageBreak/>
        <w:t>lasted for less than one hour. For example, if a generator has a FOR of 0.5% and its forced outages have a likelihood of 30% of being less than one hour, then it will experience outages lasting for more than one hour for about 0.35% of the time</w:t>
      </w:r>
      <w:r w:rsidR="000820C8">
        <w:rPr>
          <w:lang w:val="en-US"/>
        </w:rPr>
        <w:t>.</w:t>
      </w:r>
    </w:p>
    <w:p w14:paraId="6B56163A" w14:textId="74EAEE1E" w:rsidR="000820C8" w:rsidRPr="0054077C" w:rsidRDefault="000820C8" w:rsidP="000820C8">
      <w:pPr>
        <w:pStyle w:val="Heading3"/>
      </w:pPr>
      <w:bookmarkStart w:id="36" w:name="_Toc426649352"/>
      <w:r>
        <w:t>Peak Forecast</w:t>
      </w:r>
      <w:bookmarkEnd w:id="36"/>
    </w:p>
    <w:p w14:paraId="35848496" w14:textId="5D4018D7" w:rsidR="00EF1D77" w:rsidRDefault="00EF1D77" w:rsidP="00EF1D77">
      <w:pPr>
        <w:rPr>
          <w:lang w:val="en-US"/>
        </w:rPr>
      </w:pPr>
      <w:r>
        <w:rPr>
          <w:lang w:val="en-US"/>
        </w:rPr>
        <w:t xml:space="preserve">The PRM study used FBC’s peak demand forecast, after DSM and other savings, as filed in the 2012-2013 RRA and 2012 </w:t>
      </w:r>
      <w:r w:rsidR="00216372">
        <w:rPr>
          <w:lang w:val="en-US"/>
        </w:rPr>
        <w:t>Long Term Resource Plan (LT</w:t>
      </w:r>
      <w:r>
        <w:rPr>
          <w:lang w:val="en-US"/>
        </w:rPr>
        <w:t>RP</w:t>
      </w:r>
      <w:r w:rsidR="00216372">
        <w:rPr>
          <w:lang w:val="en-US"/>
        </w:rPr>
        <w:t>)</w:t>
      </w:r>
      <w:r>
        <w:rPr>
          <w:lang w:val="en-US"/>
        </w:rPr>
        <w:t xml:space="preserve"> (the most recent FBC long term forecast approved by the BCUC), but with self-generating industrial customers load removed and only considered in a sensitivity case. This expected forecast of demand on FBC’s system with monthly and seasonal values is shown in </w:t>
      </w:r>
      <w:r w:rsidR="000D0ECC">
        <w:rPr>
          <w:lang w:val="en-US"/>
        </w:rPr>
        <w:t>Table C-1 in Appendix C</w:t>
      </w:r>
      <w:r>
        <w:rPr>
          <w:lang w:val="en-US"/>
        </w:rPr>
        <w:t xml:space="preserve">. Since FBC’s winter peak has occurred in December more often than the other months in the past 20 years, this forecast assumes that the winter peak will occur in December and therefore it replaces the December peak in the peak forecast with the winter peak. The same argument is applied to replace the forecast July peak with the summer peak. </w:t>
      </w:r>
    </w:p>
    <w:p w14:paraId="37DF457C" w14:textId="77777777" w:rsidR="00EF1D77" w:rsidRDefault="00EF1D77" w:rsidP="00EF1D77">
      <w:pPr>
        <w:rPr>
          <w:lang w:val="en-US"/>
        </w:rPr>
      </w:pPr>
      <w:r>
        <w:rPr>
          <w:lang w:val="en-US"/>
        </w:rPr>
        <w:t>For the MC simulation, the peak profile should be on either a daily or hourly basis. The daily peak profile was chosen because:</w:t>
      </w:r>
    </w:p>
    <w:p w14:paraId="0B797B78" w14:textId="77777777" w:rsidR="00EF1D77" w:rsidRDefault="00EF1D77" w:rsidP="00EF1D77">
      <w:pPr>
        <w:pStyle w:val="ListBullet1"/>
      </w:pPr>
      <w:r>
        <w:t>It fits the Company’s resource profile:</w:t>
      </w:r>
    </w:p>
    <w:p w14:paraId="7AC7258D" w14:textId="0242BAF1" w:rsidR="00EF1D77" w:rsidRPr="0054077C" w:rsidRDefault="00EF1D77" w:rsidP="00EF1D77">
      <w:pPr>
        <w:pStyle w:val="ListBullet2"/>
      </w:pPr>
      <w:r w:rsidRPr="0054077C">
        <w:t>WAX is a capacity-only resource;</w:t>
      </w:r>
    </w:p>
    <w:p w14:paraId="44F89712" w14:textId="77777777" w:rsidR="00EF1D77" w:rsidRPr="0054077C" w:rsidRDefault="00EF1D77" w:rsidP="00EF1D77">
      <w:pPr>
        <w:pStyle w:val="ListBullet2"/>
      </w:pPr>
      <w:r w:rsidRPr="0054077C">
        <w:t>CPA only specifies monthly capacity and energy for entitlement resources;</w:t>
      </w:r>
    </w:p>
    <w:p w14:paraId="0FC86954" w14:textId="77777777" w:rsidR="00EF1D77" w:rsidRPr="007A1E63" w:rsidRDefault="00EF1D77" w:rsidP="00EF1D77">
      <w:pPr>
        <w:pStyle w:val="ListBullet1"/>
      </w:pPr>
      <w:r>
        <w:t>It is straightforward to compare the resultant LOLE to the industry practice of LOLE 0.1 day/year.</w:t>
      </w:r>
    </w:p>
    <w:p w14:paraId="167D828D" w14:textId="3EE84C62" w:rsidR="00EF1D77" w:rsidRDefault="00EF1D77" w:rsidP="00EF1D77">
      <w:pPr>
        <w:rPr>
          <w:lang w:val="en-US"/>
        </w:rPr>
      </w:pPr>
      <w:r>
        <w:rPr>
          <w:lang w:val="en-US"/>
        </w:rPr>
        <w:t xml:space="preserve">Twelve representative daily load curves for each month (in percentage of the month’s peak) were derived based on a study of peaks over the 2002-2011 period. These chronological curves were then assumed for the whole planning horizon. Monthly load profiles are shown in Table C-2. Figure 2-1 displays an example for July and December profiles. To forecast daily peaks (in MW) for a month, the month’s load curve (in %) is applied to the month’s forecast peak (in </w:t>
      </w:r>
      <w:r>
        <w:rPr>
          <w:lang w:val="en-US"/>
        </w:rPr>
        <w:lastRenderedPageBreak/>
        <w:t xml:space="preserve">MW). For example, with </w:t>
      </w:r>
      <w:r w:rsidR="00F538AD">
        <w:rPr>
          <w:lang w:val="en-US"/>
        </w:rPr>
        <w:t>a</w:t>
      </w:r>
      <w:r>
        <w:rPr>
          <w:lang w:val="en-US"/>
        </w:rPr>
        <w:t xml:space="preserve"> monthly peak of 700MW and the first day of the month set at 90% of the month’s peak, the peak on this first day is 630MW.</w:t>
      </w:r>
    </w:p>
    <w:p w14:paraId="68061630" w14:textId="77777777" w:rsidR="00EF1D77" w:rsidRDefault="00EF1D77" w:rsidP="00EF1D77">
      <w:pPr>
        <w:pStyle w:val="FigureHeading"/>
      </w:pPr>
      <w:bookmarkStart w:id="37" w:name="_Toc421190641"/>
      <w:r>
        <w:t>Figure 2-1:  Load Profile Examples</w:t>
      </w:r>
      <w:bookmarkEnd w:id="37"/>
    </w:p>
    <w:p w14:paraId="4C8E2DC4" w14:textId="77777777" w:rsidR="00EF1D77" w:rsidRDefault="00EF1D77" w:rsidP="00EF1D77">
      <w:pPr>
        <w:pStyle w:val="FigureCentre"/>
      </w:pPr>
      <w:r>
        <w:rPr>
          <w:noProof/>
          <w:lang w:eastAsia="en-CA"/>
        </w:rPr>
        <w:drawing>
          <wp:inline distT="0" distB="0" distL="0" distR="0" wp14:anchorId="594AB74A" wp14:editId="226668CE">
            <wp:extent cx="4208750" cy="2520000"/>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208750" cy="2520000"/>
                    </a:xfrm>
                    <a:prstGeom prst="rect">
                      <a:avLst/>
                    </a:prstGeom>
                    <a:noFill/>
                    <a:ln>
                      <a:noFill/>
                    </a:ln>
                  </pic:spPr>
                </pic:pic>
              </a:graphicData>
            </a:graphic>
          </wp:inline>
        </w:drawing>
      </w:r>
      <w:r w:rsidRPr="000720FB" w:rsidDel="000720FB">
        <w:t xml:space="preserve"> </w:t>
      </w:r>
    </w:p>
    <w:p w14:paraId="057E9B7D" w14:textId="77777777" w:rsidR="00EF1D77" w:rsidRPr="0054077C" w:rsidRDefault="00EF1D77" w:rsidP="00EF1D77">
      <w:pPr>
        <w:pStyle w:val="Heading2"/>
      </w:pPr>
      <w:bookmarkStart w:id="38" w:name="_Toc383170519"/>
      <w:bookmarkStart w:id="39" w:name="_Toc426649353"/>
      <w:r w:rsidRPr="0054077C">
        <w:t>Capacity Gaps</w:t>
      </w:r>
      <w:bookmarkEnd w:id="38"/>
      <w:bookmarkEnd w:id="39"/>
    </w:p>
    <w:p w14:paraId="651FB15F" w14:textId="07C7352F" w:rsidR="00EF1D77" w:rsidRPr="0018785B" w:rsidRDefault="00EF1D77" w:rsidP="00EF1D77">
      <w:r>
        <w:rPr>
          <w:lang w:val="en-US"/>
        </w:rPr>
        <w:t>Once the capacity resources and expected peak forecast are known, it is straightforward to calculate the WAX monthly capacity amounts needed to meet peaks, expected monthly capacity gaps, WAX total surplus capacity, WAX unit-contingent surplus capacity and WAX hourly surplus capacity.  Table D-1 in Appendix D shows that there will be forecast capacity gaps in June as early as in 2018</w:t>
      </w:r>
      <w:r w:rsidRPr="0018785B">
        <w:rPr>
          <w:lang w:val="en-US"/>
        </w:rPr>
        <w:t xml:space="preserve">. All capacity gaps are expected to be supplied from other firm resources. </w:t>
      </w:r>
    </w:p>
    <w:p w14:paraId="0BE474BD" w14:textId="44B43BD8" w:rsidR="00EF1D77" w:rsidRPr="00AD11B6" w:rsidRDefault="00EF1D77" w:rsidP="00EF1D77">
      <w:r w:rsidRPr="0018785B">
        <w:rPr>
          <w:lang w:val="en-US"/>
        </w:rPr>
        <w:t>In this modeling work, it is assumed that if there is a</w:t>
      </w:r>
      <w:r>
        <w:rPr>
          <w:lang w:val="en-US"/>
        </w:rPr>
        <w:t>n expected</w:t>
      </w:r>
      <w:r w:rsidRPr="0018785B">
        <w:rPr>
          <w:lang w:val="en-US"/>
        </w:rPr>
        <w:t xml:space="preserve"> capacity gap in a month then a firm capacity resource with FOR 5% to exactly meet the gap will be </w:t>
      </w:r>
      <w:r>
        <w:rPr>
          <w:lang w:val="en-US"/>
        </w:rPr>
        <w:t>acquired</w:t>
      </w:r>
      <w:r w:rsidRPr="0018785B">
        <w:rPr>
          <w:lang w:val="en-US"/>
        </w:rPr>
        <w:t xml:space="preserve"> in advance (see </w:t>
      </w:r>
      <w:r>
        <w:t xml:space="preserve">Table B-5 </w:t>
      </w:r>
      <w:r w:rsidRPr="0018785B">
        <w:rPr>
          <w:lang w:val="en-US"/>
        </w:rPr>
        <w:t xml:space="preserve">in Appendix B). </w:t>
      </w:r>
      <w:r w:rsidR="00EE625B">
        <w:rPr>
          <w:lang w:val="en-US"/>
        </w:rPr>
        <w:t>Scenario 7 examines the case where additional capacity to meet expected capacity gaps is not acquired.</w:t>
      </w:r>
    </w:p>
    <w:p w14:paraId="565F275D" w14:textId="77777777" w:rsidR="00EF1D77" w:rsidRDefault="00EF1D77" w:rsidP="00EF1D77"/>
    <w:p w14:paraId="1B75F72D" w14:textId="77777777" w:rsidR="00EF1D77" w:rsidRDefault="00EF1D77" w:rsidP="00EF1D77">
      <w:pPr>
        <w:sectPr w:rsidR="00EF1D77" w:rsidSect="0054077C">
          <w:footerReference w:type="default" r:id="rId16"/>
          <w:pgSz w:w="12240" w:h="15840"/>
          <w:pgMar w:top="1440" w:right="1440" w:bottom="1440" w:left="1440" w:header="708" w:footer="708" w:gutter="0"/>
          <w:lnNumType w:countBy="1"/>
          <w:cols w:space="708"/>
          <w:docGrid w:linePitch="360"/>
        </w:sectPr>
      </w:pPr>
    </w:p>
    <w:p w14:paraId="17982B67" w14:textId="77777777" w:rsidR="00EF1D77" w:rsidRDefault="00EF1D77" w:rsidP="00EF1D77">
      <w:pPr>
        <w:pStyle w:val="Heading1"/>
      </w:pPr>
      <w:bookmarkStart w:id="40" w:name="_Toc426649354"/>
      <w:r>
        <w:lastRenderedPageBreak/>
        <w:t>Monte-Carlo Simulation Results</w:t>
      </w:r>
      <w:bookmarkEnd w:id="40"/>
    </w:p>
    <w:p w14:paraId="43C5CEC8" w14:textId="77777777" w:rsidR="00EF1D77" w:rsidRPr="00791B89" w:rsidRDefault="00EF1D77" w:rsidP="00EF1D77">
      <w:pPr>
        <w:pStyle w:val="Heading2"/>
      </w:pPr>
      <w:bookmarkStart w:id="41" w:name="_Toc383170521"/>
      <w:bookmarkStart w:id="42" w:name="_Toc426649355"/>
      <w:r w:rsidRPr="00791B89">
        <w:t>Monte-Carlo Simulation and Assumptions in the Base Case</w:t>
      </w:r>
      <w:bookmarkEnd w:id="41"/>
      <w:bookmarkEnd w:id="42"/>
    </w:p>
    <w:p w14:paraId="169AA99F" w14:textId="77777777" w:rsidR="00EF1D77" w:rsidRDefault="00EF1D77" w:rsidP="00EF1D77">
      <w:pPr>
        <w:rPr>
          <w:lang w:val="en-US"/>
        </w:rPr>
      </w:pPr>
      <w:r>
        <w:rPr>
          <w:lang w:val="en-US"/>
        </w:rPr>
        <w:t>The Monte-Carlo (</w:t>
      </w:r>
      <w:r w:rsidRPr="00DC537D">
        <w:rPr>
          <w:b/>
          <w:lang w:val="en-US"/>
        </w:rPr>
        <w:t>MC</w:t>
      </w:r>
      <w:r>
        <w:rPr>
          <w:lang w:val="en-US"/>
        </w:rPr>
        <w:t>) simulation model for PRM was developed in-house using Microsoft Excel and its programming language VBA. There are off-the-shelf software packages for PRM planning, but they are more suitable for regional planning with economic dispatching capability. Furthermore, certain features of the Company’s operating environment, e.g. the CPA, are not present in the commercial models which would result in the need for additional customized programming.</w:t>
      </w:r>
    </w:p>
    <w:p w14:paraId="4669FFDE" w14:textId="77777777" w:rsidR="00EF1D77" w:rsidRDefault="00EF1D77" w:rsidP="00EF1D77">
      <w:pPr>
        <w:rPr>
          <w:lang w:val="en-US"/>
        </w:rPr>
      </w:pPr>
      <w:r>
        <w:rPr>
          <w:lang w:val="en-US"/>
        </w:rPr>
        <w:t>The base case (Case 0) represents the Company’s expected operating environment, while sensitivity cases examine deviations from the expected operating environment. Assumptions for the base case are summarized below:</w:t>
      </w:r>
    </w:p>
    <w:p w14:paraId="6B89CFF2" w14:textId="77777777" w:rsidR="00EF1D77" w:rsidRDefault="00EF1D77" w:rsidP="00EF1D77">
      <w:pPr>
        <w:pStyle w:val="ListNumber"/>
        <w:rPr>
          <w:lang w:val="en-US"/>
        </w:rPr>
      </w:pPr>
      <w:r>
        <w:rPr>
          <w:lang w:val="en-US"/>
        </w:rPr>
        <w:t>The peak forecast is the expected forecast with the winter and summer peaks to occur in December and July respectively.  ;</w:t>
      </w:r>
    </w:p>
    <w:p w14:paraId="20FB7120" w14:textId="77777777" w:rsidR="00EF1D77" w:rsidRDefault="00EF1D77" w:rsidP="00EF1D77">
      <w:pPr>
        <w:pStyle w:val="ListNumber"/>
        <w:rPr>
          <w:lang w:val="en-US"/>
        </w:rPr>
      </w:pPr>
      <w:r>
        <w:rPr>
          <w:lang w:val="en-US"/>
        </w:rPr>
        <w:t>The FBC’s own and contracted generators’ FORs are assumed as per column 3 in Appendix B, Table B-2;</w:t>
      </w:r>
    </w:p>
    <w:p w14:paraId="692F95FD" w14:textId="77777777" w:rsidR="00EF1D77" w:rsidRDefault="00EF1D77" w:rsidP="00EF1D77">
      <w:pPr>
        <w:pStyle w:val="ListNumber"/>
        <w:rPr>
          <w:lang w:val="en-US"/>
        </w:rPr>
      </w:pPr>
      <w:r>
        <w:rPr>
          <w:lang w:val="en-US"/>
        </w:rPr>
        <w:t>WAX’s expected FOR in the 2015-2019 is 0.5% and after 2019 is 0.25%;</w:t>
      </w:r>
    </w:p>
    <w:p w14:paraId="619A020B" w14:textId="30A7A4F4" w:rsidR="00EF1D77" w:rsidRDefault="00EF1D77" w:rsidP="00EF1D77">
      <w:pPr>
        <w:pStyle w:val="ListNumber"/>
        <w:rPr>
          <w:lang w:val="en-US"/>
        </w:rPr>
      </w:pPr>
      <w:r>
        <w:rPr>
          <w:lang w:val="en-US"/>
        </w:rPr>
        <w:t>Forced outages last for less than one day</w:t>
      </w:r>
      <w:r w:rsidR="005430D8">
        <w:rPr>
          <w:lang w:val="en-US"/>
        </w:rPr>
        <w:t xml:space="preserve"> and an outage on one day does not influence if the following day will have an outage as well</w:t>
      </w:r>
      <w:r>
        <w:rPr>
          <w:lang w:val="en-US"/>
        </w:rPr>
        <w:t>;</w:t>
      </w:r>
    </w:p>
    <w:p w14:paraId="6E56A2DF" w14:textId="77777777" w:rsidR="00EF1D77" w:rsidRDefault="00EF1D77" w:rsidP="00EF1D77">
      <w:pPr>
        <w:pStyle w:val="ListNumber"/>
        <w:rPr>
          <w:lang w:val="en-US"/>
        </w:rPr>
      </w:pPr>
      <w:r w:rsidRPr="00782E08">
        <w:rPr>
          <w:lang w:val="en-US"/>
        </w:rPr>
        <w:t xml:space="preserve">Market access is 150MW and </w:t>
      </w:r>
      <w:r>
        <w:rPr>
          <w:lang w:val="en-US"/>
        </w:rPr>
        <w:t>the transmission</w:t>
      </w:r>
      <w:r w:rsidRPr="00782E08">
        <w:rPr>
          <w:lang w:val="en-US"/>
        </w:rPr>
        <w:t xml:space="preserve"> FOR is 0.74%;</w:t>
      </w:r>
    </w:p>
    <w:p w14:paraId="0CB332A3" w14:textId="2D4D77CF" w:rsidR="00EF1D77" w:rsidRPr="007B57EF" w:rsidRDefault="00EF1D77" w:rsidP="00EF1D77">
      <w:pPr>
        <w:pStyle w:val="ListNumber"/>
      </w:pPr>
      <w:r w:rsidRPr="008F75A8">
        <w:rPr>
          <w:lang w:val="en-US"/>
        </w:rPr>
        <w:t xml:space="preserve">Capacity to meet expected gaps is firm </w:t>
      </w:r>
      <w:r w:rsidR="00451D23">
        <w:rPr>
          <w:lang w:val="en-US"/>
        </w:rPr>
        <w:t xml:space="preserve">at FOR 5% </w:t>
      </w:r>
      <w:r w:rsidRPr="008F75A8">
        <w:rPr>
          <w:lang w:val="en-US"/>
        </w:rPr>
        <w:t>and planned in advance as in</w:t>
      </w:r>
      <w:r>
        <w:rPr>
          <w:lang w:val="en-US"/>
        </w:rPr>
        <w:t xml:space="preserve"> Appendix B, Table B-5; and</w:t>
      </w:r>
    </w:p>
    <w:p w14:paraId="51AA40CD" w14:textId="77777777" w:rsidR="00EF1D77" w:rsidRDefault="00EF1D77" w:rsidP="00EF1D77">
      <w:pPr>
        <w:pStyle w:val="ListNumber"/>
        <w:rPr>
          <w:lang w:val="en-US"/>
        </w:rPr>
      </w:pPr>
      <w:r>
        <w:rPr>
          <w:lang w:val="en-US"/>
        </w:rPr>
        <w:t>WAX surplus capacity for unit-contingent sales is not available to meet system requirements while the remaining hourly WAX surplus capacity is.</w:t>
      </w:r>
    </w:p>
    <w:p w14:paraId="0B84CB0C" w14:textId="23971059" w:rsidR="00EF1D77" w:rsidRDefault="00EF1D77" w:rsidP="00EF1D77">
      <w:pPr>
        <w:rPr>
          <w:lang w:val="en-US"/>
        </w:rPr>
      </w:pPr>
      <w:r>
        <w:rPr>
          <w:lang w:val="en-US"/>
        </w:rPr>
        <w:t xml:space="preserve">Note that the model does not need to generate the duration of forced outages because daily peaks </w:t>
      </w:r>
      <w:r w:rsidR="005430D8">
        <w:rPr>
          <w:lang w:val="en-US"/>
        </w:rPr>
        <w:t>are used and outages are assumed to last less than one day.</w:t>
      </w:r>
      <w:r>
        <w:rPr>
          <w:lang w:val="en-US"/>
        </w:rPr>
        <w:t xml:space="preserve"> Simulation results are provided in the next section.</w:t>
      </w:r>
    </w:p>
    <w:p w14:paraId="006E4548" w14:textId="77777777" w:rsidR="00EF1D77" w:rsidRPr="00791B89" w:rsidRDefault="00EF1D77" w:rsidP="00EF1D77">
      <w:pPr>
        <w:pStyle w:val="Heading2"/>
      </w:pPr>
      <w:bookmarkStart w:id="43" w:name="_Toc355786960"/>
      <w:bookmarkStart w:id="44" w:name="_Toc383170522"/>
      <w:bookmarkStart w:id="45" w:name="_Toc426649356"/>
      <w:r w:rsidRPr="00791B89">
        <w:lastRenderedPageBreak/>
        <w:t xml:space="preserve">Base Case </w:t>
      </w:r>
      <w:bookmarkEnd w:id="43"/>
      <w:r w:rsidRPr="00791B89">
        <w:t>Results</w:t>
      </w:r>
      <w:bookmarkEnd w:id="44"/>
      <w:bookmarkEnd w:id="45"/>
    </w:p>
    <w:p w14:paraId="21649E4B" w14:textId="52E04016" w:rsidR="00EF1D77" w:rsidRDefault="00EF1D77" w:rsidP="00EF1D77">
      <w:pPr>
        <w:rPr>
          <w:lang w:val="en-US"/>
        </w:rPr>
      </w:pPr>
      <w:r>
        <w:rPr>
          <w:lang w:val="en-US"/>
        </w:rPr>
        <w:t>The MC simulation sampled 1,000 iterations for each year. This number of iterations tends to be common practice in the utility industry; for example, a recent NERC survey in July 2012 on pilot probabilistic assessment of resource adequacy shows that close to 50% of participants are adopting it</w:t>
      </w:r>
      <w:r>
        <w:rPr>
          <w:rStyle w:val="FootnoteReference"/>
          <w:lang w:val="en-US"/>
        </w:rPr>
        <w:footnoteReference w:id="25"/>
      </w:r>
      <w:r>
        <w:rPr>
          <w:lang w:val="en-US"/>
        </w:rPr>
        <w:t xml:space="preserve">. The model was also tested at higher number of iterations (up to 5,000), but there were only immaterial variances from the results with 1,000 iterations. The convergence chart below, taken for 2033 as a randomly selected year, proves the sufficiency of 1,000 iterations since after 1,000 iterations the LOLE converges. </w:t>
      </w:r>
    </w:p>
    <w:p w14:paraId="2C19737F" w14:textId="77777777" w:rsidR="00EF1D77" w:rsidRDefault="00EF1D77" w:rsidP="00EF1D77">
      <w:pPr>
        <w:rPr>
          <w:lang w:val="en-US"/>
        </w:rPr>
      </w:pPr>
      <w:r>
        <w:rPr>
          <w:lang w:val="en-US"/>
        </w:rPr>
        <w:t xml:space="preserve">For presentation purposes, years 2014-2020, 2025, 2030, and 2033 were chosen for tables and charts in Section 3. LOLE results of the base case for these years are displayed in Table 3-1 below (see Table E-1 in Appendix E for more monthly LOLEs). </w:t>
      </w:r>
    </w:p>
    <w:p w14:paraId="6770A2B8" w14:textId="77777777" w:rsidR="00EF1D77" w:rsidRDefault="00EF1D77" w:rsidP="00EF1D77">
      <w:pPr>
        <w:rPr>
          <w:lang w:val="en-US"/>
        </w:rPr>
      </w:pPr>
      <w:r>
        <w:rPr>
          <w:lang w:val="en-US"/>
        </w:rPr>
        <w:t xml:space="preserve">It is clear that in Case 0, or the base case, the system easily meets the industry benchmark of LOLE 0.1 day/year. There is no need to acquire further capacity for resource adequacy (other than the expected capacity to meet gaps as shown in Appendix D, Table D-1.) </w:t>
      </w:r>
    </w:p>
    <w:p w14:paraId="671F4B4A" w14:textId="77777777" w:rsidR="00EF1D77" w:rsidRDefault="00EF1D77" w:rsidP="00EF1D77">
      <w:pPr>
        <w:pStyle w:val="FigureHeading"/>
      </w:pPr>
      <w:bookmarkStart w:id="46" w:name="_Toc421190642"/>
      <w:r>
        <w:t>Figure 3-1:  Simulation Convergence</w:t>
      </w:r>
      <w:bookmarkEnd w:id="46"/>
    </w:p>
    <w:p w14:paraId="36984155" w14:textId="77777777" w:rsidR="00EF1D77" w:rsidRDefault="00EF1D77" w:rsidP="00EF1D77">
      <w:pPr>
        <w:pStyle w:val="FigureCentre"/>
      </w:pPr>
      <w:r>
        <w:rPr>
          <w:noProof/>
          <w:lang w:eastAsia="en-CA"/>
        </w:rPr>
        <w:drawing>
          <wp:inline distT="0" distB="0" distL="0" distR="0" wp14:anchorId="4DCF65ED" wp14:editId="28860CB1">
            <wp:extent cx="4621585" cy="2520000"/>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621585" cy="2520000"/>
                    </a:xfrm>
                    <a:prstGeom prst="rect">
                      <a:avLst/>
                    </a:prstGeom>
                    <a:noFill/>
                    <a:ln>
                      <a:noFill/>
                    </a:ln>
                  </pic:spPr>
                </pic:pic>
              </a:graphicData>
            </a:graphic>
          </wp:inline>
        </w:drawing>
      </w:r>
    </w:p>
    <w:p w14:paraId="0A0F1F7E" w14:textId="77777777" w:rsidR="00EF1D77" w:rsidRDefault="00EF1D77" w:rsidP="00CA51CF">
      <w:pPr>
        <w:pStyle w:val="TableHeading"/>
        <w:ind w:right="-705"/>
      </w:pPr>
      <w:bookmarkStart w:id="47" w:name="_Toc421190629"/>
      <w:r>
        <w:lastRenderedPageBreak/>
        <w:t>Table 3-1:  LOLE in the Base Case (0.1 day per year as the target)</w:t>
      </w:r>
      <w:bookmarkEnd w:id="47"/>
    </w:p>
    <w:tbl>
      <w:tblPr>
        <w:tblStyle w:val="LightList-Accent11"/>
        <w:tblW w:w="10314" w:type="dxa"/>
        <w:tblLook w:val="04A0" w:firstRow="1" w:lastRow="0" w:firstColumn="1" w:lastColumn="0" w:noHBand="0" w:noVBand="1"/>
      </w:tblPr>
      <w:tblGrid>
        <w:gridCol w:w="617"/>
        <w:gridCol w:w="667"/>
        <w:gridCol w:w="667"/>
        <w:gridCol w:w="667"/>
        <w:gridCol w:w="667"/>
        <w:gridCol w:w="667"/>
        <w:gridCol w:w="667"/>
        <w:gridCol w:w="667"/>
        <w:gridCol w:w="667"/>
        <w:gridCol w:w="667"/>
        <w:gridCol w:w="667"/>
        <w:gridCol w:w="667"/>
        <w:gridCol w:w="667"/>
        <w:gridCol w:w="843"/>
        <w:gridCol w:w="850"/>
      </w:tblGrid>
      <w:tr w:rsidR="002E00AD" w:rsidRPr="00864899" w14:paraId="55EE8B07" w14:textId="77777777" w:rsidTr="00430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00FC0AD0" w14:textId="77777777" w:rsidR="002E00AD" w:rsidRPr="00864899" w:rsidRDefault="002E00AD" w:rsidP="00430C2F">
            <w:pPr>
              <w:pStyle w:val="Table1"/>
            </w:pPr>
            <w:r w:rsidRPr="00864899">
              <w:t>Year</w:t>
            </w:r>
          </w:p>
        </w:tc>
        <w:tc>
          <w:tcPr>
            <w:tcW w:w="667" w:type="dxa"/>
            <w:vAlign w:val="bottom"/>
          </w:tcPr>
          <w:p w14:paraId="6037804A" w14:textId="77777777" w:rsidR="002E00AD" w:rsidRPr="00864899" w:rsidRDefault="002E00AD" w:rsidP="00430C2F">
            <w:pPr>
              <w:pStyle w:val="Table1"/>
              <w:cnfStyle w:val="100000000000" w:firstRow="1" w:lastRow="0" w:firstColumn="0" w:lastColumn="0" w:oddVBand="0" w:evenVBand="0" w:oddHBand="0" w:evenHBand="0" w:firstRowFirstColumn="0" w:firstRowLastColumn="0" w:lastRowFirstColumn="0" w:lastRowLastColumn="0"/>
            </w:pPr>
            <w:r w:rsidRPr="00864899">
              <w:t>Jan</w:t>
            </w:r>
          </w:p>
        </w:tc>
        <w:tc>
          <w:tcPr>
            <w:tcW w:w="667" w:type="dxa"/>
            <w:vAlign w:val="bottom"/>
          </w:tcPr>
          <w:p w14:paraId="4C416F99" w14:textId="77777777" w:rsidR="002E00AD" w:rsidRPr="00864899" w:rsidRDefault="002E00AD" w:rsidP="00430C2F">
            <w:pPr>
              <w:pStyle w:val="Table1"/>
              <w:cnfStyle w:val="100000000000" w:firstRow="1" w:lastRow="0" w:firstColumn="0" w:lastColumn="0" w:oddVBand="0" w:evenVBand="0" w:oddHBand="0" w:evenHBand="0" w:firstRowFirstColumn="0" w:firstRowLastColumn="0" w:lastRowFirstColumn="0" w:lastRowLastColumn="0"/>
            </w:pPr>
            <w:r w:rsidRPr="00864899">
              <w:t>Feb</w:t>
            </w:r>
          </w:p>
        </w:tc>
        <w:tc>
          <w:tcPr>
            <w:tcW w:w="667" w:type="dxa"/>
            <w:vAlign w:val="bottom"/>
          </w:tcPr>
          <w:p w14:paraId="05632849" w14:textId="77777777" w:rsidR="002E00AD" w:rsidRPr="00864899" w:rsidRDefault="002E00AD" w:rsidP="00430C2F">
            <w:pPr>
              <w:pStyle w:val="Table1"/>
              <w:cnfStyle w:val="100000000000" w:firstRow="1" w:lastRow="0" w:firstColumn="0" w:lastColumn="0" w:oddVBand="0" w:evenVBand="0" w:oddHBand="0" w:evenHBand="0" w:firstRowFirstColumn="0" w:firstRowLastColumn="0" w:lastRowFirstColumn="0" w:lastRowLastColumn="0"/>
            </w:pPr>
            <w:r w:rsidRPr="00864899">
              <w:t>Mar</w:t>
            </w:r>
          </w:p>
        </w:tc>
        <w:tc>
          <w:tcPr>
            <w:tcW w:w="667" w:type="dxa"/>
            <w:vAlign w:val="bottom"/>
          </w:tcPr>
          <w:p w14:paraId="480D3AFB" w14:textId="77777777" w:rsidR="002E00AD" w:rsidRPr="00864899" w:rsidRDefault="002E00AD" w:rsidP="00430C2F">
            <w:pPr>
              <w:pStyle w:val="Table1"/>
              <w:cnfStyle w:val="100000000000" w:firstRow="1" w:lastRow="0" w:firstColumn="0" w:lastColumn="0" w:oddVBand="0" w:evenVBand="0" w:oddHBand="0" w:evenHBand="0" w:firstRowFirstColumn="0" w:firstRowLastColumn="0" w:lastRowFirstColumn="0" w:lastRowLastColumn="0"/>
            </w:pPr>
            <w:r w:rsidRPr="00864899">
              <w:t>Apr</w:t>
            </w:r>
          </w:p>
        </w:tc>
        <w:tc>
          <w:tcPr>
            <w:tcW w:w="667" w:type="dxa"/>
            <w:vAlign w:val="bottom"/>
          </w:tcPr>
          <w:p w14:paraId="3E9C8D72" w14:textId="77777777" w:rsidR="002E00AD" w:rsidRPr="00864899" w:rsidRDefault="002E00AD" w:rsidP="00430C2F">
            <w:pPr>
              <w:pStyle w:val="Table1"/>
              <w:cnfStyle w:val="100000000000" w:firstRow="1" w:lastRow="0" w:firstColumn="0" w:lastColumn="0" w:oddVBand="0" w:evenVBand="0" w:oddHBand="0" w:evenHBand="0" w:firstRowFirstColumn="0" w:firstRowLastColumn="0" w:lastRowFirstColumn="0" w:lastRowLastColumn="0"/>
            </w:pPr>
            <w:r w:rsidRPr="00864899">
              <w:t>May</w:t>
            </w:r>
          </w:p>
        </w:tc>
        <w:tc>
          <w:tcPr>
            <w:tcW w:w="667" w:type="dxa"/>
            <w:vAlign w:val="bottom"/>
          </w:tcPr>
          <w:p w14:paraId="16EB1539" w14:textId="77777777" w:rsidR="002E00AD" w:rsidRPr="00864899" w:rsidRDefault="002E00AD" w:rsidP="00430C2F">
            <w:pPr>
              <w:pStyle w:val="Table1"/>
              <w:cnfStyle w:val="100000000000" w:firstRow="1" w:lastRow="0" w:firstColumn="0" w:lastColumn="0" w:oddVBand="0" w:evenVBand="0" w:oddHBand="0" w:evenHBand="0" w:firstRowFirstColumn="0" w:firstRowLastColumn="0" w:lastRowFirstColumn="0" w:lastRowLastColumn="0"/>
            </w:pPr>
            <w:r w:rsidRPr="00864899">
              <w:t>Jun</w:t>
            </w:r>
          </w:p>
        </w:tc>
        <w:tc>
          <w:tcPr>
            <w:tcW w:w="667" w:type="dxa"/>
            <w:vAlign w:val="bottom"/>
          </w:tcPr>
          <w:p w14:paraId="5399F822" w14:textId="77777777" w:rsidR="002E00AD" w:rsidRPr="00864899" w:rsidRDefault="002E00AD" w:rsidP="00430C2F">
            <w:pPr>
              <w:pStyle w:val="Table1"/>
              <w:cnfStyle w:val="100000000000" w:firstRow="1" w:lastRow="0" w:firstColumn="0" w:lastColumn="0" w:oddVBand="0" w:evenVBand="0" w:oddHBand="0" w:evenHBand="0" w:firstRowFirstColumn="0" w:firstRowLastColumn="0" w:lastRowFirstColumn="0" w:lastRowLastColumn="0"/>
            </w:pPr>
            <w:r w:rsidRPr="00864899">
              <w:t>Jul</w:t>
            </w:r>
          </w:p>
        </w:tc>
        <w:tc>
          <w:tcPr>
            <w:tcW w:w="667" w:type="dxa"/>
            <w:vAlign w:val="bottom"/>
          </w:tcPr>
          <w:p w14:paraId="54D114AE" w14:textId="77777777" w:rsidR="002E00AD" w:rsidRPr="00864899" w:rsidRDefault="002E00AD" w:rsidP="00430C2F">
            <w:pPr>
              <w:pStyle w:val="Table1"/>
              <w:cnfStyle w:val="100000000000" w:firstRow="1" w:lastRow="0" w:firstColumn="0" w:lastColumn="0" w:oddVBand="0" w:evenVBand="0" w:oddHBand="0" w:evenHBand="0" w:firstRowFirstColumn="0" w:firstRowLastColumn="0" w:lastRowFirstColumn="0" w:lastRowLastColumn="0"/>
            </w:pPr>
            <w:r w:rsidRPr="00864899">
              <w:t>Aug</w:t>
            </w:r>
          </w:p>
        </w:tc>
        <w:tc>
          <w:tcPr>
            <w:tcW w:w="667" w:type="dxa"/>
            <w:vAlign w:val="bottom"/>
          </w:tcPr>
          <w:p w14:paraId="7413395D" w14:textId="77777777" w:rsidR="002E00AD" w:rsidRPr="00864899" w:rsidRDefault="002E00AD" w:rsidP="00430C2F">
            <w:pPr>
              <w:pStyle w:val="Table1"/>
              <w:cnfStyle w:val="100000000000" w:firstRow="1" w:lastRow="0" w:firstColumn="0" w:lastColumn="0" w:oddVBand="0" w:evenVBand="0" w:oddHBand="0" w:evenHBand="0" w:firstRowFirstColumn="0" w:firstRowLastColumn="0" w:lastRowFirstColumn="0" w:lastRowLastColumn="0"/>
            </w:pPr>
            <w:r w:rsidRPr="00864899">
              <w:t>Sep</w:t>
            </w:r>
          </w:p>
        </w:tc>
        <w:tc>
          <w:tcPr>
            <w:tcW w:w="667" w:type="dxa"/>
            <w:vAlign w:val="bottom"/>
          </w:tcPr>
          <w:p w14:paraId="208CA30B" w14:textId="77777777" w:rsidR="002E00AD" w:rsidRPr="00864899" w:rsidRDefault="002E00AD" w:rsidP="00430C2F">
            <w:pPr>
              <w:pStyle w:val="Table1"/>
              <w:cnfStyle w:val="100000000000" w:firstRow="1" w:lastRow="0" w:firstColumn="0" w:lastColumn="0" w:oddVBand="0" w:evenVBand="0" w:oddHBand="0" w:evenHBand="0" w:firstRowFirstColumn="0" w:firstRowLastColumn="0" w:lastRowFirstColumn="0" w:lastRowLastColumn="0"/>
            </w:pPr>
            <w:r w:rsidRPr="00864899">
              <w:t>Oct</w:t>
            </w:r>
          </w:p>
        </w:tc>
        <w:tc>
          <w:tcPr>
            <w:tcW w:w="667" w:type="dxa"/>
            <w:vAlign w:val="bottom"/>
          </w:tcPr>
          <w:p w14:paraId="4E579305" w14:textId="77777777" w:rsidR="002E00AD" w:rsidRPr="00864899" w:rsidRDefault="002E00AD" w:rsidP="00430C2F">
            <w:pPr>
              <w:pStyle w:val="Table1"/>
              <w:cnfStyle w:val="100000000000" w:firstRow="1" w:lastRow="0" w:firstColumn="0" w:lastColumn="0" w:oddVBand="0" w:evenVBand="0" w:oddHBand="0" w:evenHBand="0" w:firstRowFirstColumn="0" w:firstRowLastColumn="0" w:lastRowFirstColumn="0" w:lastRowLastColumn="0"/>
            </w:pPr>
            <w:r w:rsidRPr="00864899">
              <w:t>Nov</w:t>
            </w:r>
          </w:p>
        </w:tc>
        <w:tc>
          <w:tcPr>
            <w:tcW w:w="667" w:type="dxa"/>
            <w:vAlign w:val="bottom"/>
          </w:tcPr>
          <w:p w14:paraId="10AFFF3C" w14:textId="77777777" w:rsidR="002E00AD" w:rsidRPr="00864899" w:rsidRDefault="002E00AD" w:rsidP="00430C2F">
            <w:pPr>
              <w:pStyle w:val="Table1"/>
              <w:cnfStyle w:val="100000000000" w:firstRow="1" w:lastRow="0" w:firstColumn="0" w:lastColumn="0" w:oddVBand="0" w:evenVBand="0" w:oddHBand="0" w:evenHBand="0" w:firstRowFirstColumn="0" w:firstRowLastColumn="0" w:lastRowFirstColumn="0" w:lastRowLastColumn="0"/>
            </w:pPr>
            <w:r w:rsidRPr="00864899">
              <w:t>Dec</w:t>
            </w:r>
          </w:p>
        </w:tc>
        <w:tc>
          <w:tcPr>
            <w:tcW w:w="843" w:type="dxa"/>
            <w:vAlign w:val="bottom"/>
          </w:tcPr>
          <w:p w14:paraId="4ADF6129" w14:textId="77777777" w:rsidR="002E00AD" w:rsidRPr="00864899" w:rsidRDefault="002E00AD" w:rsidP="00430C2F">
            <w:pPr>
              <w:pStyle w:val="Table1"/>
              <w:cnfStyle w:val="100000000000" w:firstRow="1" w:lastRow="0" w:firstColumn="0" w:lastColumn="0" w:oddVBand="0" w:evenVBand="0" w:oddHBand="0" w:evenHBand="0" w:firstRowFirstColumn="0" w:firstRowLastColumn="0" w:lastRowFirstColumn="0" w:lastRowLastColumn="0"/>
            </w:pPr>
            <w:r w:rsidRPr="00864899">
              <w:t>Annual</w:t>
            </w:r>
          </w:p>
        </w:tc>
        <w:tc>
          <w:tcPr>
            <w:tcW w:w="850" w:type="dxa"/>
          </w:tcPr>
          <w:p w14:paraId="769F3CDB" w14:textId="77777777" w:rsidR="002E00AD" w:rsidRPr="00864899" w:rsidRDefault="002E00AD" w:rsidP="00430C2F">
            <w:pPr>
              <w:pStyle w:val="Table1"/>
              <w:cnfStyle w:val="100000000000" w:firstRow="1" w:lastRow="0" w:firstColumn="0" w:lastColumn="0" w:oddVBand="0" w:evenVBand="0" w:oddHBand="0" w:evenHBand="0" w:firstRowFirstColumn="0" w:firstRowLastColumn="0" w:lastRowFirstColumn="0" w:lastRowLastColumn="0"/>
            </w:pPr>
            <w:r>
              <w:t>Winter PRM</w:t>
            </w:r>
          </w:p>
        </w:tc>
      </w:tr>
      <w:tr w:rsidR="000C0D15" w:rsidRPr="00864899" w14:paraId="5AC94F19" w14:textId="77777777" w:rsidTr="00430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3B5873EB" w14:textId="77777777" w:rsidR="000C0D15" w:rsidRPr="00864899" w:rsidRDefault="000C0D15" w:rsidP="00430C2F">
            <w:pPr>
              <w:pStyle w:val="Table1"/>
            </w:pPr>
            <w:r w:rsidRPr="00864899">
              <w:t>2014</w:t>
            </w:r>
          </w:p>
        </w:tc>
        <w:tc>
          <w:tcPr>
            <w:tcW w:w="667" w:type="dxa"/>
          </w:tcPr>
          <w:p w14:paraId="4B63D92F" w14:textId="7805BF0E"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508FBF9B" w14:textId="25719B6E"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35B68DDA" w14:textId="369AE61B"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0.002</w:t>
            </w:r>
          </w:p>
        </w:tc>
        <w:tc>
          <w:tcPr>
            <w:tcW w:w="667" w:type="dxa"/>
          </w:tcPr>
          <w:p w14:paraId="376CB74B" w14:textId="48BECCF3"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60C07C94" w14:textId="7A793091"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53782CC8" w14:textId="0FED8C44"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0.001</w:t>
            </w:r>
          </w:p>
        </w:tc>
        <w:tc>
          <w:tcPr>
            <w:tcW w:w="667" w:type="dxa"/>
          </w:tcPr>
          <w:p w14:paraId="445AC787" w14:textId="2D0A62AC"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0.002</w:t>
            </w:r>
          </w:p>
        </w:tc>
        <w:tc>
          <w:tcPr>
            <w:tcW w:w="667" w:type="dxa"/>
          </w:tcPr>
          <w:p w14:paraId="69A55BD5" w14:textId="54BF293C"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0.004</w:t>
            </w:r>
          </w:p>
        </w:tc>
        <w:tc>
          <w:tcPr>
            <w:tcW w:w="667" w:type="dxa"/>
          </w:tcPr>
          <w:p w14:paraId="07C0F9C3" w14:textId="7462EA7B"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113A593A" w14:textId="1A5FF3FF"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067DC012" w14:textId="652B4A25"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0.002</w:t>
            </w:r>
          </w:p>
        </w:tc>
        <w:tc>
          <w:tcPr>
            <w:tcW w:w="667" w:type="dxa"/>
          </w:tcPr>
          <w:p w14:paraId="213E1648" w14:textId="47325D84"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0.005</w:t>
            </w:r>
          </w:p>
        </w:tc>
        <w:tc>
          <w:tcPr>
            <w:tcW w:w="843" w:type="dxa"/>
          </w:tcPr>
          <w:p w14:paraId="65E99448" w14:textId="47956E9B"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0.016</w:t>
            </w:r>
          </w:p>
        </w:tc>
        <w:tc>
          <w:tcPr>
            <w:tcW w:w="850" w:type="dxa"/>
          </w:tcPr>
          <w:p w14:paraId="4CEA7CFA" w14:textId="6CCC1464"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7D5B09">
              <w:t>27%</w:t>
            </w:r>
          </w:p>
        </w:tc>
      </w:tr>
      <w:tr w:rsidR="000C0D15" w:rsidRPr="00864899" w14:paraId="57747D80" w14:textId="77777777" w:rsidTr="00430C2F">
        <w:tc>
          <w:tcPr>
            <w:cnfStyle w:val="001000000000" w:firstRow="0" w:lastRow="0" w:firstColumn="1" w:lastColumn="0" w:oddVBand="0" w:evenVBand="0" w:oddHBand="0" w:evenHBand="0" w:firstRowFirstColumn="0" w:firstRowLastColumn="0" w:lastRowFirstColumn="0" w:lastRowLastColumn="0"/>
            <w:tcW w:w="617" w:type="dxa"/>
            <w:vAlign w:val="bottom"/>
          </w:tcPr>
          <w:p w14:paraId="77EC4879" w14:textId="77777777" w:rsidR="000C0D15" w:rsidRPr="00864899" w:rsidRDefault="000C0D15" w:rsidP="00430C2F">
            <w:pPr>
              <w:pStyle w:val="Table1"/>
            </w:pPr>
            <w:r w:rsidRPr="00864899">
              <w:t>2015</w:t>
            </w:r>
          </w:p>
        </w:tc>
        <w:tc>
          <w:tcPr>
            <w:tcW w:w="667" w:type="dxa"/>
          </w:tcPr>
          <w:p w14:paraId="3EA5345B" w14:textId="6AD1A3EC"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0.002</w:t>
            </w:r>
          </w:p>
        </w:tc>
        <w:tc>
          <w:tcPr>
            <w:tcW w:w="667" w:type="dxa"/>
          </w:tcPr>
          <w:p w14:paraId="62D65E33" w14:textId="68C5E0D9"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54E8ADE2" w14:textId="346BCEF4"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0.015</w:t>
            </w:r>
          </w:p>
        </w:tc>
        <w:tc>
          <w:tcPr>
            <w:tcW w:w="667" w:type="dxa"/>
          </w:tcPr>
          <w:p w14:paraId="7D638B64" w14:textId="4244AEF8"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6EE788CA" w14:textId="77EB2F16"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4377AB30" w14:textId="35AB7299"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0.001</w:t>
            </w:r>
          </w:p>
        </w:tc>
        <w:tc>
          <w:tcPr>
            <w:tcW w:w="667" w:type="dxa"/>
          </w:tcPr>
          <w:p w14:paraId="60EF2960" w14:textId="0B97EBF8"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52133904" w14:textId="7CFF45BF"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467F32EF" w14:textId="3DB2F1BC"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18D1C48E" w14:textId="6DE484E4"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426E4B3C" w14:textId="734D4047"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1C4919DC" w14:textId="420E1FF9"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0.006</w:t>
            </w:r>
          </w:p>
        </w:tc>
        <w:tc>
          <w:tcPr>
            <w:tcW w:w="843" w:type="dxa"/>
          </w:tcPr>
          <w:p w14:paraId="3B71D754" w14:textId="5AEB3E3E"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0.024</w:t>
            </w:r>
          </w:p>
        </w:tc>
        <w:tc>
          <w:tcPr>
            <w:tcW w:w="850" w:type="dxa"/>
          </w:tcPr>
          <w:p w14:paraId="195E7328" w14:textId="6C372661"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7D5B09">
              <w:t>26%</w:t>
            </w:r>
          </w:p>
        </w:tc>
      </w:tr>
      <w:tr w:rsidR="000C0D15" w:rsidRPr="00864899" w14:paraId="763E5C8C" w14:textId="77777777" w:rsidTr="00430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2AFF8BA4" w14:textId="77777777" w:rsidR="000C0D15" w:rsidRPr="00864899" w:rsidRDefault="000C0D15" w:rsidP="00430C2F">
            <w:pPr>
              <w:pStyle w:val="Table1"/>
            </w:pPr>
            <w:r w:rsidRPr="00864899">
              <w:t>2016</w:t>
            </w:r>
          </w:p>
        </w:tc>
        <w:tc>
          <w:tcPr>
            <w:tcW w:w="667" w:type="dxa"/>
          </w:tcPr>
          <w:p w14:paraId="289CDAE3" w14:textId="10CE973B"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0.002</w:t>
            </w:r>
          </w:p>
        </w:tc>
        <w:tc>
          <w:tcPr>
            <w:tcW w:w="667" w:type="dxa"/>
          </w:tcPr>
          <w:p w14:paraId="2485F4CF" w14:textId="069E5CC4"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420D6178" w14:textId="79BC5B1A"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0.001</w:t>
            </w:r>
          </w:p>
        </w:tc>
        <w:tc>
          <w:tcPr>
            <w:tcW w:w="667" w:type="dxa"/>
          </w:tcPr>
          <w:p w14:paraId="1661223F" w14:textId="7AACDDCF"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276B82B6" w14:textId="548450B7"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62823FF4" w14:textId="31055773"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0.002</w:t>
            </w:r>
          </w:p>
        </w:tc>
        <w:tc>
          <w:tcPr>
            <w:tcW w:w="667" w:type="dxa"/>
          </w:tcPr>
          <w:p w14:paraId="39DC6A8D" w14:textId="421B4066"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0.002</w:t>
            </w:r>
          </w:p>
        </w:tc>
        <w:tc>
          <w:tcPr>
            <w:tcW w:w="667" w:type="dxa"/>
          </w:tcPr>
          <w:p w14:paraId="57F0872D" w14:textId="694C2383"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417EAF07" w14:textId="4D2879D1"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340D65AD" w14:textId="43A2E8AC"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0102784A" w14:textId="2AA75A1F"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56CD6B93" w14:textId="376023AC"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0.009</w:t>
            </w:r>
          </w:p>
        </w:tc>
        <w:tc>
          <w:tcPr>
            <w:tcW w:w="843" w:type="dxa"/>
          </w:tcPr>
          <w:p w14:paraId="21A4C531" w14:textId="465ECF60"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0.016</w:t>
            </w:r>
          </w:p>
        </w:tc>
        <w:tc>
          <w:tcPr>
            <w:tcW w:w="850" w:type="dxa"/>
          </w:tcPr>
          <w:p w14:paraId="492D9F20" w14:textId="1AC8405E"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7D5B09">
              <w:t>26%</w:t>
            </w:r>
          </w:p>
        </w:tc>
      </w:tr>
      <w:tr w:rsidR="000C0D15" w:rsidRPr="00864899" w14:paraId="75ACC425" w14:textId="77777777" w:rsidTr="00430C2F">
        <w:tc>
          <w:tcPr>
            <w:cnfStyle w:val="001000000000" w:firstRow="0" w:lastRow="0" w:firstColumn="1" w:lastColumn="0" w:oddVBand="0" w:evenVBand="0" w:oddHBand="0" w:evenHBand="0" w:firstRowFirstColumn="0" w:firstRowLastColumn="0" w:lastRowFirstColumn="0" w:lastRowLastColumn="0"/>
            <w:tcW w:w="617" w:type="dxa"/>
            <w:vAlign w:val="bottom"/>
          </w:tcPr>
          <w:p w14:paraId="51716377" w14:textId="77777777" w:rsidR="000C0D15" w:rsidRPr="00864899" w:rsidRDefault="000C0D15" w:rsidP="00430C2F">
            <w:pPr>
              <w:pStyle w:val="Table1"/>
            </w:pPr>
            <w:r w:rsidRPr="00864899">
              <w:t>2017</w:t>
            </w:r>
          </w:p>
        </w:tc>
        <w:tc>
          <w:tcPr>
            <w:tcW w:w="667" w:type="dxa"/>
          </w:tcPr>
          <w:p w14:paraId="0601A8C5" w14:textId="2E301D0D"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0.002</w:t>
            </w:r>
          </w:p>
        </w:tc>
        <w:tc>
          <w:tcPr>
            <w:tcW w:w="667" w:type="dxa"/>
          </w:tcPr>
          <w:p w14:paraId="08B44D8F" w14:textId="0D3C8F86"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08101F13" w14:textId="1F3DBA08"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0.001</w:t>
            </w:r>
          </w:p>
        </w:tc>
        <w:tc>
          <w:tcPr>
            <w:tcW w:w="667" w:type="dxa"/>
          </w:tcPr>
          <w:p w14:paraId="6D84D140" w14:textId="630EAB7D"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1B5C6AAE" w14:textId="5AF70D4B"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43755460" w14:textId="0A95E49D"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0.001</w:t>
            </w:r>
          </w:p>
        </w:tc>
        <w:tc>
          <w:tcPr>
            <w:tcW w:w="667" w:type="dxa"/>
          </w:tcPr>
          <w:p w14:paraId="0732C570" w14:textId="6F9B6A39"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41CD1601" w14:textId="14380CE7"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73D206AB" w14:textId="34F0BBB8"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5B56B3F3" w14:textId="486EC011"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2842456C" w14:textId="1A78A4E5"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116E1967" w14:textId="3003973A"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0.005</w:t>
            </w:r>
          </w:p>
        </w:tc>
        <w:tc>
          <w:tcPr>
            <w:tcW w:w="843" w:type="dxa"/>
          </w:tcPr>
          <w:p w14:paraId="47D13DBD" w14:textId="26B74E39"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0.009</w:t>
            </w:r>
          </w:p>
        </w:tc>
        <w:tc>
          <w:tcPr>
            <w:tcW w:w="850" w:type="dxa"/>
          </w:tcPr>
          <w:p w14:paraId="413A53C7" w14:textId="0F5A03A2"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7D5B09">
              <w:t>26%</w:t>
            </w:r>
          </w:p>
        </w:tc>
      </w:tr>
      <w:tr w:rsidR="000C0D15" w:rsidRPr="00864899" w14:paraId="39434002" w14:textId="77777777" w:rsidTr="00430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7FEDAAE3" w14:textId="77777777" w:rsidR="000C0D15" w:rsidRPr="00864899" w:rsidRDefault="000C0D15" w:rsidP="00430C2F">
            <w:pPr>
              <w:pStyle w:val="Table1"/>
            </w:pPr>
            <w:r w:rsidRPr="00864899">
              <w:t>2018</w:t>
            </w:r>
          </w:p>
        </w:tc>
        <w:tc>
          <w:tcPr>
            <w:tcW w:w="667" w:type="dxa"/>
          </w:tcPr>
          <w:p w14:paraId="5BC1B296" w14:textId="09C30FBC"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30ED0287" w14:textId="68EC955D"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0.001</w:t>
            </w:r>
          </w:p>
        </w:tc>
        <w:tc>
          <w:tcPr>
            <w:tcW w:w="667" w:type="dxa"/>
          </w:tcPr>
          <w:p w14:paraId="0F86CD50" w14:textId="294EB60F"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417F287D" w14:textId="00ABD81F"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4641269D" w14:textId="114F4FCF"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0.006</w:t>
            </w:r>
          </w:p>
        </w:tc>
        <w:tc>
          <w:tcPr>
            <w:tcW w:w="667" w:type="dxa"/>
          </w:tcPr>
          <w:p w14:paraId="4C7341C1" w14:textId="0FF8BA9B"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0.006</w:t>
            </w:r>
          </w:p>
        </w:tc>
        <w:tc>
          <w:tcPr>
            <w:tcW w:w="667" w:type="dxa"/>
          </w:tcPr>
          <w:p w14:paraId="7CAE7874" w14:textId="3DEB14BA"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0.001</w:t>
            </w:r>
          </w:p>
        </w:tc>
        <w:tc>
          <w:tcPr>
            <w:tcW w:w="667" w:type="dxa"/>
          </w:tcPr>
          <w:p w14:paraId="4C4FF732" w14:textId="1AD440E8"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32CB1926" w14:textId="0D14C6D7"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3490946E" w14:textId="79A34882"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299B20B2" w14:textId="09EFAE18"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3F42133F" w14:textId="710F85C0"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0.002</w:t>
            </w:r>
          </w:p>
        </w:tc>
        <w:tc>
          <w:tcPr>
            <w:tcW w:w="843" w:type="dxa"/>
          </w:tcPr>
          <w:p w14:paraId="64E935C5" w14:textId="22163F27"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0.016</w:t>
            </w:r>
          </w:p>
        </w:tc>
        <w:tc>
          <w:tcPr>
            <w:tcW w:w="850" w:type="dxa"/>
          </w:tcPr>
          <w:p w14:paraId="61C0B742" w14:textId="0B4A1B25"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7D5B09">
              <w:t>25%</w:t>
            </w:r>
          </w:p>
        </w:tc>
      </w:tr>
      <w:tr w:rsidR="000C0D15" w:rsidRPr="00864899" w14:paraId="1D6934DF" w14:textId="77777777" w:rsidTr="00430C2F">
        <w:tc>
          <w:tcPr>
            <w:cnfStyle w:val="001000000000" w:firstRow="0" w:lastRow="0" w:firstColumn="1" w:lastColumn="0" w:oddVBand="0" w:evenVBand="0" w:oddHBand="0" w:evenHBand="0" w:firstRowFirstColumn="0" w:firstRowLastColumn="0" w:lastRowFirstColumn="0" w:lastRowLastColumn="0"/>
            <w:tcW w:w="617" w:type="dxa"/>
            <w:vAlign w:val="bottom"/>
          </w:tcPr>
          <w:p w14:paraId="63FB6F2E" w14:textId="77777777" w:rsidR="000C0D15" w:rsidRPr="00864899" w:rsidRDefault="000C0D15" w:rsidP="00430C2F">
            <w:pPr>
              <w:pStyle w:val="Table1"/>
            </w:pPr>
            <w:r w:rsidRPr="00864899">
              <w:t>2019</w:t>
            </w:r>
          </w:p>
        </w:tc>
        <w:tc>
          <w:tcPr>
            <w:tcW w:w="667" w:type="dxa"/>
          </w:tcPr>
          <w:p w14:paraId="3FE52B7A" w14:textId="62A1000F"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0.002</w:t>
            </w:r>
          </w:p>
        </w:tc>
        <w:tc>
          <w:tcPr>
            <w:tcW w:w="667" w:type="dxa"/>
          </w:tcPr>
          <w:p w14:paraId="55C1B326" w14:textId="7EB80F41"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03028BC1" w14:textId="6261B2B6"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13B82184" w14:textId="1A3890C8"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19EA737D" w14:textId="1B151085"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0.003</w:t>
            </w:r>
          </w:p>
        </w:tc>
        <w:tc>
          <w:tcPr>
            <w:tcW w:w="667" w:type="dxa"/>
          </w:tcPr>
          <w:p w14:paraId="525D452C" w14:textId="13139312"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0.005</w:t>
            </w:r>
          </w:p>
        </w:tc>
        <w:tc>
          <w:tcPr>
            <w:tcW w:w="667" w:type="dxa"/>
          </w:tcPr>
          <w:p w14:paraId="5F337CC1" w14:textId="53C02359"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0.003</w:t>
            </w:r>
          </w:p>
        </w:tc>
        <w:tc>
          <w:tcPr>
            <w:tcW w:w="667" w:type="dxa"/>
          </w:tcPr>
          <w:p w14:paraId="5545D4CC" w14:textId="11633DE6"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73018A65" w14:textId="69FF4325"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1D27414D" w14:textId="59644845"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0600DD26" w14:textId="5918A5F2"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6A30BACB" w14:textId="07A211FA"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0.007</w:t>
            </w:r>
          </w:p>
        </w:tc>
        <w:tc>
          <w:tcPr>
            <w:tcW w:w="843" w:type="dxa"/>
          </w:tcPr>
          <w:p w14:paraId="6A7ADC3A" w14:textId="4522B035"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0.020</w:t>
            </w:r>
          </w:p>
        </w:tc>
        <w:tc>
          <w:tcPr>
            <w:tcW w:w="850" w:type="dxa"/>
          </w:tcPr>
          <w:p w14:paraId="065F9F26" w14:textId="3500243F"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7D5B09">
              <w:t>25%</w:t>
            </w:r>
          </w:p>
        </w:tc>
      </w:tr>
      <w:tr w:rsidR="000C0D15" w:rsidRPr="00864899" w14:paraId="426EBF6F" w14:textId="77777777" w:rsidTr="00430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681E0E19" w14:textId="77777777" w:rsidR="000C0D15" w:rsidRPr="00864899" w:rsidRDefault="000C0D15" w:rsidP="00430C2F">
            <w:pPr>
              <w:pStyle w:val="Table1"/>
            </w:pPr>
            <w:r w:rsidRPr="00864899">
              <w:t>2020</w:t>
            </w:r>
          </w:p>
        </w:tc>
        <w:tc>
          <w:tcPr>
            <w:tcW w:w="667" w:type="dxa"/>
          </w:tcPr>
          <w:p w14:paraId="640FD309" w14:textId="3DF1C21D"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0.001</w:t>
            </w:r>
          </w:p>
        </w:tc>
        <w:tc>
          <w:tcPr>
            <w:tcW w:w="667" w:type="dxa"/>
          </w:tcPr>
          <w:p w14:paraId="4E1FE712" w14:textId="58D20791"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38F07F79" w14:textId="1E5BD563"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7D5707F1" w14:textId="17A78489"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0.001</w:t>
            </w:r>
          </w:p>
        </w:tc>
        <w:tc>
          <w:tcPr>
            <w:tcW w:w="667" w:type="dxa"/>
          </w:tcPr>
          <w:p w14:paraId="0ED8913B" w14:textId="22B9B4F8"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0.001</w:t>
            </w:r>
          </w:p>
        </w:tc>
        <w:tc>
          <w:tcPr>
            <w:tcW w:w="667" w:type="dxa"/>
          </w:tcPr>
          <w:p w14:paraId="25482E78" w14:textId="120752EE"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0.004</w:t>
            </w:r>
          </w:p>
        </w:tc>
        <w:tc>
          <w:tcPr>
            <w:tcW w:w="667" w:type="dxa"/>
          </w:tcPr>
          <w:p w14:paraId="5D2B879C" w14:textId="69B9D2C0"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0.002</w:t>
            </w:r>
          </w:p>
        </w:tc>
        <w:tc>
          <w:tcPr>
            <w:tcW w:w="667" w:type="dxa"/>
          </w:tcPr>
          <w:p w14:paraId="69FE5997" w14:textId="0A9AB733"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5DBFE19A" w14:textId="0CD9163F"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253EB26E" w14:textId="7F623025"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714FE57F" w14:textId="04142ECB"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21243A8A" w14:textId="4DD12A3D"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0.006</w:t>
            </w:r>
          </w:p>
        </w:tc>
        <w:tc>
          <w:tcPr>
            <w:tcW w:w="843" w:type="dxa"/>
          </w:tcPr>
          <w:p w14:paraId="05E68E49" w14:textId="117E4BBA"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0.015</w:t>
            </w:r>
          </w:p>
        </w:tc>
        <w:tc>
          <w:tcPr>
            <w:tcW w:w="850" w:type="dxa"/>
          </w:tcPr>
          <w:p w14:paraId="78ED4B4D" w14:textId="617B5B81"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7D5B09">
              <w:t>25%</w:t>
            </w:r>
          </w:p>
        </w:tc>
      </w:tr>
      <w:tr w:rsidR="000C0D15" w:rsidRPr="00864899" w14:paraId="24367958" w14:textId="77777777" w:rsidTr="00430C2F">
        <w:tc>
          <w:tcPr>
            <w:cnfStyle w:val="001000000000" w:firstRow="0" w:lastRow="0" w:firstColumn="1" w:lastColumn="0" w:oddVBand="0" w:evenVBand="0" w:oddHBand="0" w:evenHBand="0" w:firstRowFirstColumn="0" w:firstRowLastColumn="0" w:lastRowFirstColumn="0" w:lastRowLastColumn="0"/>
            <w:tcW w:w="617" w:type="dxa"/>
            <w:vAlign w:val="bottom"/>
          </w:tcPr>
          <w:p w14:paraId="2DB2E5E9" w14:textId="77777777" w:rsidR="000C0D15" w:rsidRPr="00864899" w:rsidRDefault="000C0D15" w:rsidP="00430C2F">
            <w:pPr>
              <w:pStyle w:val="Table1"/>
            </w:pPr>
            <w:r w:rsidRPr="00864899">
              <w:t>2025</w:t>
            </w:r>
          </w:p>
        </w:tc>
        <w:tc>
          <w:tcPr>
            <w:tcW w:w="667" w:type="dxa"/>
          </w:tcPr>
          <w:p w14:paraId="432AD44A" w14:textId="6D6AE4ED"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5D1F0102" w14:textId="1B2D3AC7"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0.001</w:t>
            </w:r>
          </w:p>
        </w:tc>
        <w:tc>
          <w:tcPr>
            <w:tcW w:w="667" w:type="dxa"/>
          </w:tcPr>
          <w:p w14:paraId="097699AC" w14:textId="4D32E9C2"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0.001</w:t>
            </w:r>
          </w:p>
        </w:tc>
        <w:tc>
          <w:tcPr>
            <w:tcW w:w="667" w:type="dxa"/>
          </w:tcPr>
          <w:p w14:paraId="25F21D33" w14:textId="3E7329EA"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0.001</w:t>
            </w:r>
          </w:p>
        </w:tc>
        <w:tc>
          <w:tcPr>
            <w:tcW w:w="667" w:type="dxa"/>
          </w:tcPr>
          <w:p w14:paraId="5456EC77" w14:textId="3C6EF01A"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25BA8140" w14:textId="53C0D87F"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0.012</w:t>
            </w:r>
          </w:p>
        </w:tc>
        <w:tc>
          <w:tcPr>
            <w:tcW w:w="667" w:type="dxa"/>
          </w:tcPr>
          <w:p w14:paraId="7EFD3CED" w14:textId="7CDD68AB"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0.003</w:t>
            </w:r>
          </w:p>
        </w:tc>
        <w:tc>
          <w:tcPr>
            <w:tcW w:w="667" w:type="dxa"/>
          </w:tcPr>
          <w:p w14:paraId="541757A4" w14:textId="49BCBE47"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1E8A1F0C" w14:textId="6FF1C12A"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33D5DB7D" w14:textId="2DEF2446"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2E5212DE" w14:textId="609FCC98"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1DAA9AEE" w14:textId="4F71F229"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0.003</w:t>
            </w:r>
          </w:p>
        </w:tc>
        <w:tc>
          <w:tcPr>
            <w:tcW w:w="843" w:type="dxa"/>
          </w:tcPr>
          <w:p w14:paraId="35064C7E" w14:textId="4FB9536B"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0.021</w:t>
            </w:r>
          </w:p>
        </w:tc>
        <w:tc>
          <w:tcPr>
            <w:tcW w:w="850" w:type="dxa"/>
          </w:tcPr>
          <w:p w14:paraId="4DB141CF" w14:textId="54723CCD"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7D5B09">
              <w:t>24%</w:t>
            </w:r>
          </w:p>
        </w:tc>
      </w:tr>
      <w:tr w:rsidR="000C0D15" w:rsidRPr="00864899" w14:paraId="36913BA1" w14:textId="77777777" w:rsidTr="00430C2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58D9E1F6" w14:textId="77777777" w:rsidR="000C0D15" w:rsidRPr="00864899" w:rsidRDefault="000C0D15" w:rsidP="00430C2F">
            <w:pPr>
              <w:pStyle w:val="Table1"/>
            </w:pPr>
            <w:r w:rsidRPr="00864899">
              <w:t>2030</w:t>
            </w:r>
          </w:p>
        </w:tc>
        <w:tc>
          <w:tcPr>
            <w:tcW w:w="667" w:type="dxa"/>
          </w:tcPr>
          <w:p w14:paraId="39BE6EAA" w14:textId="16E71230"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59A8307F" w14:textId="68014CC8"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0.002</w:t>
            </w:r>
          </w:p>
        </w:tc>
        <w:tc>
          <w:tcPr>
            <w:tcW w:w="667" w:type="dxa"/>
          </w:tcPr>
          <w:p w14:paraId="24594F94" w14:textId="279608D4"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114EB9A2" w14:textId="65DF8707"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14343FAA" w14:textId="3F5AA187"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337B1EFF" w14:textId="2427E8AC"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0.007</w:t>
            </w:r>
          </w:p>
        </w:tc>
        <w:tc>
          <w:tcPr>
            <w:tcW w:w="667" w:type="dxa"/>
          </w:tcPr>
          <w:p w14:paraId="1560E5FF" w14:textId="24C0D25D"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0.001</w:t>
            </w:r>
          </w:p>
        </w:tc>
        <w:tc>
          <w:tcPr>
            <w:tcW w:w="667" w:type="dxa"/>
          </w:tcPr>
          <w:p w14:paraId="41641472" w14:textId="4CD7EFD7"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377124B8" w14:textId="3B4DBE05"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0A9A6F61" w14:textId="2AE3444B"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61AF891E" w14:textId="32E855D4"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0.000</w:t>
            </w:r>
          </w:p>
        </w:tc>
        <w:tc>
          <w:tcPr>
            <w:tcW w:w="667" w:type="dxa"/>
          </w:tcPr>
          <w:p w14:paraId="262C3C89" w14:textId="00F4E969"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0.014</w:t>
            </w:r>
          </w:p>
        </w:tc>
        <w:tc>
          <w:tcPr>
            <w:tcW w:w="843" w:type="dxa"/>
          </w:tcPr>
          <w:p w14:paraId="0A1B182F" w14:textId="15739BBB"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0E1BF8">
              <w:t>0.024</w:t>
            </w:r>
          </w:p>
        </w:tc>
        <w:tc>
          <w:tcPr>
            <w:tcW w:w="850" w:type="dxa"/>
          </w:tcPr>
          <w:p w14:paraId="4C7B7055" w14:textId="3D93759D" w:rsidR="000C0D15" w:rsidRPr="00864899" w:rsidRDefault="000C0D15" w:rsidP="00430C2F">
            <w:pPr>
              <w:pStyle w:val="Table1"/>
              <w:cnfStyle w:val="000000100000" w:firstRow="0" w:lastRow="0" w:firstColumn="0" w:lastColumn="0" w:oddVBand="0" w:evenVBand="0" w:oddHBand="1" w:evenHBand="0" w:firstRowFirstColumn="0" w:firstRowLastColumn="0" w:lastRowFirstColumn="0" w:lastRowLastColumn="0"/>
            </w:pPr>
            <w:r w:rsidRPr="007D5B09">
              <w:t>23%</w:t>
            </w:r>
          </w:p>
        </w:tc>
      </w:tr>
      <w:tr w:rsidR="000C0D15" w:rsidRPr="00864899" w14:paraId="5CFD3B0B" w14:textId="77777777" w:rsidTr="00430C2F">
        <w:tc>
          <w:tcPr>
            <w:cnfStyle w:val="001000000000" w:firstRow="0" w:lastRow="0" w:firstColumn="1" w:lastColumn="0" w:oddVBand="0" w:evenVBand="0" w:oddHBand="0" w:evenHBand="0" w:firstRowFirstColumn="0" w:firstRowLastColumn="0" w:lastRowFirstColumn="0" w:lastRowLastColumn="0"/>
            <w:tcW w:w="617" w:type="dxa"/>
            <w:vAlign w:val="bottom"/>
          </w:tcPr>
          <w:p w14:paraId="7CA965A7" w14:textId="77777777" w:rsidR="000C0D15" w:rsidRPr="00864899" w:rsidRDefault="000C0D15" w:rsidP="00430C2F">
            <w:pPr>
              <w:pStyle w:val="Table1"/>
            </w:pPr>
            <w:r w:rsidRPr="00864899">
              <w:t>2033</w:t>
            </w:r>
          </w:p>
        </w:tc>
        <w:tc>
          <w:tcPr>
            <w:tcW w:w="667" w:type="dxa"/>
          </w:tcPr>
          <w:p w14:paraId="09ADB387" w14:textId="59FEDC69"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0.001</w:t>
            </w:r>
          </w:p>
        </w:tc>
        <w:tc>
          <w:tcPr>
            <w:tcW w:w="667" w:type="dxa"/>
          </w:tcPr>
          <w:p w14:paraId="67CCFF42" w14:textId="2AE87350"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0.002</w:t>
            </w:r>
          </w:p>
        </w:tc>
        <w:tc>
          <w:tcPr>
            <w:tcW w:w="667" w:type="dxa"/>
          </w:tcPr>
          <w:p w14:paraId="3E69702D" w14:textId="397185FC"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6E014915" w14:textId="225BD1F1"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425DA98F" w14:textId="721C0BB2"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1E3EA167" w14:textId="5D85527F"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0.003</w:t>
            </w:r>
          </w:p>
        </w:tc>
        <w:tc>
          <w:tcPr>
            <w:tcW w:w="667" w:type="dxa"/>
          </w:tcPr>
          <w:p w14:paraId="63C2A6B6" w14:textId="39B50F62"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0.001</w:t>
            </w:r>
          </w:p>
        </w:tc>
        <w:tc>
          <w:tcPr>
            <w:tcW w:w="667" w:type="dxa"/>
          </w:tcPr>
          <w:p w14:paraId="3D827A18" w14:textId="340CCB1E"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5192CCB9" w14:textId="4409B207"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07C4C587" w14:textId="61E28ACE"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22DA8A3C" w14:textId="0BA547A8"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0.000</w:t>
            </w:r>
          </w:p>
        </w:tc>
        <w:tc>
          <w:tcPr>
            <w:tcW w:w="667" w:type="dxa"/>
          </w:tcPr>
          <w:p w14:paraId="34F5F07F" w14:textId="3A91A90E"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0.023</w:t>
            </w:r>
          </w:p>
        </w:tc>
        <w:tc>
          <w:tcPr>
            <w:tcW w:w="843" w:type="dxa"/>
          </w:tcPr>
          <w:p w14:paraId="5A1803AA" w14:textId="4285099A"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0E1BF8">
              <w:t>0.030</w:t>
            </w:r>
          </w:p>
        </w:tc>
        <w:tc>
          <w:tcPr>
            <w:tcW w:w="850" w:type="dxa"/>
          </w:tcPr>
          <w:p w14:paraId="66516E31" w14:textId="5D13EC83" w:rsidR="000C0D15" w:rsidRPr="00864899" w:rsidRDefault="000C0D15" w:rsidP="00430C2F">
            <w:pPr>
              <w:pStyle w:val="Table1"/>
              <w:cnfStyle w:val="000000000000" w:firstRow="0" w:lastRow="0" w:firstColumn="0" w:lastColumn="0" w:oddVBand="0" w:evenVBand="0" w:oddHBand="0" w:evenHBand="0" w:firstRowFirstColumn="0" w:firstRowLastColumn="0" w:lastRowFirstColumn="0" w:lastRowLastColumn="0"/>
            </w:pPr>
            <w:r w:rsidRPr="007D5B09">
              <w:t>23%</w:t>
            </w:r>
          </w:p>
        </w:tc>
      </w:tr>
    </w:tbl>
    <w:p w14:paraId="5CCC0AA3" w14:textId="77777777" w:rsidR="000C0D15" w:rsidRDefault="000C0D15" w:rsidP="00684E33"/>
    <w:p w14:paraId="3714D1C1" w14:textId="6DA623F0" w:rsidR="00EF1D77" w:rsidRDefault="007B0AF7" w:rsidP="00EF1D77">
      <w:pPr>
        <w:rPr>
          <w:lang w:val="en-US"/>
        </w:rPr>
      </w:pPr>
      <w:bookmarkStart w:id="48" w:name="_Toc355786961"/>
      <w:r>
        <w:t>The resultant PRM percentage value was calculated on a monthly basis for each year</w:t>
      </w:r>
      <w:r>
        <w:rPr>
          <w:lang w:val="en-US"/>
        </w:rPr>
        <w:t xml:space="preserve"> and the </w:t>
      </w:r>
      <w:r w:rsidR="002E00AD">
        <w:rPr>
          <w:lang w:val="en-US"/>
        </w:rPr>
        <w:t>December</w:t>
      </w:r>
      <w:r>
        <w:rPr>
          <w:lang w:val="en-US"/>
        </w:rPr>
        <w:t xml:space="preserve"> PRM values </w:t>
      </w:r>
      <w:r w:rsidR="0046722C">
        <w:rPr>
          <w:lang w:val="en-US"/>
        </w:rPr>
        <w:t xml:space="preserve">(including OR) </w:t>
      </w:r>
      <w:r w:rsidR="002E00AD">
        <w:rPr>
          <w:lang w:val="en-US"/>
        </w:rPr>
        <w:t>we</w:t>
      </w:r>
      <w:r>
        <w:rPr>
          <w:lang w:val="en-US"/>
        </w:rPr>
        <w:t xml:space="preserve">re </w:t>
      </w:r>
      <w:r w:rsidR="002E00AD">
        <w:rPr>
          <w:lang w:val="en-US"/>
        </w:rPr>
        <w:t xml:space="preserve">then assumed for the winter as </w:t>
      </w:r>
      <w:r>
        <w:rPr>
          <w:lang w:val="en-US"/>
        </w:rPr>
        <w:t>shown in the last column of th</w:t>
      </w:r>
      <w:r w:rsidR="002E00AD">
        <w:rPr>
          <w:lang w:val="en-US"/>
        </w:rPr>
        <w:t>e</w:t>
      </w:r>
      <w:r>
        <w:rPr>
          <w:lang w:val="en-US"/>
        </w:rPr>
        <w:t xml:space="preserve"> table</w:t>
      </w:r>
      <w:r w:rsidR="002E00AD">
        <w:rPr>
          <w:lang w:val="en-US"/>
        </w:rPr>
        <w:t xml:space="preserve"> above</w:t>
      </w:r>
      <w:r>
        <w:rPr>
          <w:lang w:val="en-US"/>
        </w:rPr>
        <w:t xml:space="preserve">. </w:t>
      </w:r>
      <w:r w:rsidR="00451D23">
        <w:rPr>
          <w:lang w:val="en-US"/>
        </w:rPr>
        <w:t>Table E-2</w:t>
      </w:r>
      <w:r>
        <w:rPr>
          <w:lang w:val="en-US"/>
        </w:rPr>
        <w:t xml:space="preserve"> in Appendix E</w:t>
      </w:r>
      <w:r w:rsidR="00451D23">
        <w:rPr>
          <w:lang w:val="en-US"/>
        </w:rPr>
        <w:t xml:space="preserve"> </w:t>
      </w:r>
      <w:r w:rsidR="002E00AD">
        <w:rPr>
          <w:lang w:val="en-US"/>
        </w:rPr>
        <w:t xml:space="preserve">further </w:t>
      </w:r>
      <w:r w:rsidR="00EF1D77">
        <w:rPr>
          <w:lang w:val="en-US"/>
        </w:rPr>
        <w:t>shows the seasonal PRM</w:t>
      </w:r>
      <w:r w:rsidR="002E00AD">
        <w:rPr>
          <w:lang w:val="en-US"/>
        </w:rPr>
        <w:t xml:space="preserve"> for the base case</w:t>
      </w:r>
      <w:r w:rsidR="00EF1D77">
        <w:rPr>
          <w:lang w:val="en-US"/>
        </w:rPr>
        <w:t xml:space="preserve">, including and </w:t>
      </w:r>
      <w:r w:rsidR="002E00AD">
        <w:rPr>
          <w:lang w:val="en-US"/>
        </w:rPr>
        <w:t xml:space="preserve">also </w:t>
      </w:r>
      <w:r w:rsidR="00EF1D77">
        <w:rPr>
          <w:lang w:val="en-US"/>
        </w:rPr>
        <w:t>excluding OR.</w:t>
      </w:r>
      <w:r>
        <w:rPr>
          <w:lang w:val="en-US"/>
        </w:rPr>
        <w:t xml:space="preserve"> </w:t>
      </w:r>
      <w:r w:rsidR="00957088">
        <w:rPr>
          <w:lang w:val="en-US"/>
        </w:rPr>
        <w:t>Table E-3 further explains the winter PRM calculations in the base case in detail.</w:t>
      </w:r>
    </w:p>
    <w:p w14:paraId="34BFA71D" w14:textId="77777777" w:rsidR="00EF1D77" w:rsidRPr="0089011E" w:rsidRDefault="00EF1D77" w:rsidP="00EF1D77">
      <w:pPr>
        <w:pStyle w:val="Heading2"/>
      </w:pPr>
      <w:bookmarkStart w:id="49" w:name="_Toc383170523"/>
      <w:bookmarkStart w:id="50" w:name="_Toc426649357"/>
      <w:r w:rsidRPr="0089011E">
        <w:t>Sensitivity Analysis</w:t>
      </w:r>
      <w:bookmarkEnd w:id="48"/>
      <w:bookmarkEnd w:id="49"/>
      <w:bookmarkEnd w:id="50"/>
    </w:p>
    <w:p w14:paraId="377AE0BF" w14:textId="6155597E" w:rsidR="00EF1D77" w:rsidRDefault="00EF1D77" w:rsidP="00EF1D77">
      <w:pPr>
        <w:rPr>
          <w:lang w:val="en-US"/>
        </w:rPr>
      </w:pPr>
      <w:r>
        <w:rPr>
          <w:lang w:val="en-US"/>
        </w:rPr>
        <w:t>Table 3-2 summarizes a number of sensitivity cases to assess impacts on LOLE when changing the modeling assumptions. In each scenario, only one assumption was changed while other components were kept intact. The scenarios were classified in three main groups related to load, resources, and the market. When it was necessary to add capacity to obtain the targeted LOLE of 0.1 day per year, this capacity was assumed to be from a resource with FOR 5% unless stated otherwise. In general, results from sensitivity cases show that the system is able to handle various scenarios, except for a few scenarios where additional capacity would be required to meet the LOLE target of 0.1 day per year.</w:t>
      </w:r>
      <w:r w:rsidR="00451D23">
        <w:rPr>
          <w:lang w:val="en-US"/>
        </w:rPr>
        <w:t xml:space="preserve"> </w:t>
      </w:r>
    </w:p>
    <w:p w14:paraId="000CD7BB" w14:textId="77777777" w:rsidR="00EF1D77" w:rsidRDefault="00EF1D77" w:rsidP="00EF1D77">
      <w:pPr>
        <w:pStyle w:val="TableHeading"/>
      </w:pPr>
      <w:bookmarkStart w:id="51" w:name="_Toc421190630"/>
      <w:r>
        <w:t>Table 3-2:  Cases for Sensitivity Analysis</w:t>
      </w:r>
      <w:bookmarkEnd w:id="51"/>
    </w:p>
    <w:tbl>
      <w:tblPr>
        <w:tblStyle w:val="LightList-Accent11"/>
        <w:tblW w:w="9639" w:type="dxa"/>
        <w:tblInd w:w="108" w:type="dxa"/>
        <w:tblLook w:val="04A0" w:firstRow="1" w:lastRow="0" w:firstColumn="1" w:lastColumn="0" w:noHBand="0" w:noVBand="1"/>
      </w:tblPr>
      <w:tblGrid>
        <w:gridCol w:w="1418"/>
        <w:gridCol w:w="5386"/>
        <w:gridCol w:w="2835"/>
      </w:tblGrid>
      <w:tr w:rsidR="00EF1D77" w:rsidRPr="00E24C3D" w14:paraId="07F30A29" w14:textId="77777777" w:rsidTr="00656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07BCDA55" w14:textId="77777777" w:rsidR="00EF1D77" w:rsidRPr="00E24C3D" w:rsidRDefault="00EF1D77" w:rsidP="00656AF0">
            <w:pPr>
              <w:pStyle w:val="Table1"/>
              <w:rPr>
                <w:lang w:val="en-US"/>
              </w:rPr>
            </w:pPr>
            <w:r w:rsidRPr="00E24C3D">
              <w:rPr>
                <w:lang w:val="en-US"/>
              </w:rPr>
              <w:t>Case</w:t>
            </w:r>
          </w:p>
        </w:tc>
        <w:tc>
          <w:tcPr>
            <w:tcW w:w="5386" w:type="dxa"/>
            <w:vAlign w:val="center"/>
          </w:tcPr>
          <w:p w14:paraId="7310A799" w14:textId="77777777" w:rsidR="00EF1D77" w:rsidRPr="00E24C3D" w:rsidRDefault="00EF1D77" w:rsidP="00656AF0">
            <w:pPr>
              <w:pStyle w:val="Table1"/>
              <w:jc w:val="left"/>
              <w:cnfStyle w:val="100000000000" w:firstRow="1" w:lastRow="0" w:firstColumn="0" w:lastColumn="0" w:oddVBand="0" w:evenVBand="0" w:oddHBand="0" w:evenHBand="0" w:firstRowFirstColumn="0" w:firstRowLastColumn="0" w:lastRowFirstColumn="0" w:lastRowLastColumn="0"/>
              <w:rPr>
                <w:lang w:val="en-US"/>
              </w:rPr>
            </w:pPr>
            <w:r w:rsidRPr="00E24C3D">
              <w:rPr>
                <w:lang w:val="en-US"/>
              </w:rPr>
              <w:t>Description</w:t>
            </w:r>
          </w:p>
        </w:tc>
        <w:tc>
          <w:tcPr>
            <w:tcW w:w="2835" w:type="dxa"/>
            <w:vAlign w:val="center"/>
          </w:tcPr>
          <w:p w14:paraId="60FA9355" w14:textId="77777777" w:rsidR="00EF1D77" w:rsidRPr="00E24C3D" w:rsidRDefault="00EF1D77" w:rsidP="00656AF0">
            <w:pPr>
              <w:pStyle w:val="Table1"/>
              <w:jc w:val="left"/>
              <w:cnfStyle w:val="100000000000" w:firstRow="1" w:lastRow="0" w:firstColumn="0" w:lastColumn="0" w:oddVBand="0" w:evenVBand="0" w:oddHBand="0" w:evenHBand="0" w:firstRowFirstColumn="0" w:firstRowLastColumn="0" w:lastRowFirstColumn="0" w:lastRowLastColumn="0"/>
              <w:rPr>
                <w:lang w:val="en-US"/>
              </w:rPr>
            </w:pPr>
            <w:r>
              <w:rPr>
                <w:lang w:val="en-US"/>
              </w:rPr>
              <w:t>Meet LOLE Target?</w:t>
            </w:r>
          </w:p>
        </w:tc>
      </w:tr>
      <w:tr w:rsidR="00EF1D77" w:rsidRPr="0089011E" w14:paraId="3647F1DB" w14:textId="77777777" w:rsidTr="0065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gridSpan w:val="2"/>
          </w:tcPr>
          <w:p w14:paraId="11D9780D" w14:textId="77777777" w:rsidR="00EF1D77" w:rsidRPr="0089011E" w:rsidRDefault="00EF1D77" w:rsidP="00656AF0">
            <w:pPr>
              <w:pStyle w:val="Table1"/>
              <w:jc w:val="left"/>
              <w:rPr>
                <w:lang w:val="en-US"/>
              </w:rPr>
            </w:pPr>
            <w:r w:rsidRPr="0089011E">
              <w:rPr>
                <w:lang w:val="en-US"/>
              </w:rPr>
              <w:t>Load Sensitivity Analysis</w:t>
            </w:r>
          </w:p>
        </w:tc>
        <w:tc>
          <w:tcPr>
            <w:tcW w:w="2835" w:type="dxa"/>
          </w:tcPr>
          <w:p w14:paraId="5EDF4431"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p>
        </w:tc>
      </w:tr>
      <w:tr w:rsidR="00EF1D77" w:rsidRPr="0089011E" w14:paraId="7D54F232" w14:textId="77777777" w:rsidTr="00656AF0">
        <w:tc>
          <w:tcPr>
            <w:cnfStyle w:val="001000000000" w:firstRow="0" w:lastRow="0" w:firstColumn="1" w:lastColumn="0" w:oddVBand="0" w:evenVBand="0" w:oddHBand="0" w:evenHBand="0" w:firstRowFirstColumn="0" w:firstRowLastColumn="0" w:lastRowFirstColumn="0" w:lastRowLastColumn="0"/>
            <w:tcW w:w="1418" w:type="dxa"/>
          </w:tcPr>
          <w:p w14:paraId="0116212D" w14:textId="77777777" w:rsidR="00EF1D77" w:rsidRPr="0089011E" w:rsidRDefault="00EF1D77" w:rsidP="00656AF0">
            <w:pPr>
              <w:pStyle w:val="Table1"/>
              <w:rPr>
                <w:rFonts w:cs="Arial"/>
                <w:b w:val="0"/>
                <w:sz w:val="20"/>
                <w:szCs w:val="20"/>
                <w:lang w:val="en-US"/>
              </w:rPr>
            </w:pPr>
            <w:r>
              <w:t>Case 1</w:t>
            </w:r>
          </w:p>
        </w:tc>
        <w:tc>
          <w:tcPr>
            <w:tcW w:w="5386" w:type="dxa"/>
          </w:tcPr>
          <w:p w14:paraId="49035AD1" w14:textId="77777777" w:rsidR="00EF1D77" w:rsidRPr="0089011E"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r w:rsidRPr="0089011E">
              <w:rPr>
                <w:lang w:val="en-US"/>
              </w:rPr>
              <w:t>1-in-10 economic drivers</w:t>
            </w:r>
          </w:p>
        </w:tc>
        <w:tc>
          <w:tcPr>
            <w:tcW w:w="2835" w:type="dxa"/>
          </w:tcPr>
          <w:p w14:paraId="20BFE8DC" w14:textId="77777777" w:rsidR="00EF1D77" w:rsidRPr="0089011E"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r>
      <w:tr w:rsidR="00EF1D77" w:rsidRPr="0089011E" w14:paraId="42DC6CD9" w14:textId="77777777" w:rsidTr="0065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EDC63CC" w14:textId="77777777" w:rsidR="00EF1D77" w:rsidRPr="0089011E" w:rsidRDefault="00EF1D77" w:rsidP="00656AF0">
            <w:pPr>
              <w:pStyle w:val="Table1"/>
              <w:rPr>
                <w:rFonts w:cs="Arial"/>
                <w:b w:val="0"/>
                <w:sz w:val="20"/>
                <w:szCs w:val="20"/>
                <w:lang w:val="en-US"/>
              </w:rPr>
            </w:pPr>
            <w:r>
              <w:lastRenderedPageBreak/>
              <w:t>Case 2</w:t>
            </w:r>
          </w:p>
        </w:tc>
        <w:tc>
          <w:tcPr>
            <w:tcW w:w="5386" w:type="dxa"/>
          </w:tcPr>
          <w:p w14:paraId="27ED57DC"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r w:rsidRPr="0089011E">
              <w:rPr>
                <w:lang w:val="en-US"/>
              </w:rPr>
              <w:t>Industrial self-generating demand of 40MW</w:t>
            </w:r>
          </w:p>
        </w:tc>
        <w:tc>
          <w:tcPr>
            <w:tcW w:w="2835" w:type="dxa"/>
          </w:tcPr>
          <w:p w14:paraId="57506917"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r>
      <w:tr w:rsidR="00EF1D77" w:rsidRPr="0089011E" w14:paraId="56A70B1E" w14:textId="77777777" w:rsidTr="00656AF0">
        <w:tc>
          <w:tcPr>
            <w:cnfStyle w:val="001000000000" w:firstRow="0" w:lastRow="0" w:firstColumn="1" w:lastColumn="0" w:oddVBand="0" w:evenVBand="0" w:oddHBand="0" w:evenHBand="0" w:firstRowFirstColumn="0" w:firstRowLastColumn="0" w:lastRowFirstColumn="0" w:lastRowLastColumn="0"/>
            <w:tcW w:w="1418" w:type="dxa"/>
          </w:tcPr>
          <w:p w14:paraId="1D48A457" w14:textId="77777777" w:rsidR="00EF1D77" w:rsidRPr="0089011E" w:rsidRDefault="00EF1D77" w:rsidP="00656AF0">
            <w:pPr>
              <w:pStyle w:val="Table1"/>
              <w:rPr>
                <w:rFonts w:cs="Arial"/>
                <w:b w:val="0"/>
                <w:sz w:val="20"/>
                <w:szCs w:val="20"/>
                <w:lang w:val="en-US"/>
              </w:rPr>
            </w:pPr>
            <w:r>
              <w:t>Case 3</w:t>
            </w:r>
          </w:p>
        </w:tc>
        <w:tc>
          <w:tcPr>
            <w:tcW w:w="5386" w:type="dxa"/>
          </w:tcPr>
          <w:p w14:paraId="06D5597A" w14:textId="77777777" w:rsidR="00EF1D77" w:rsidRPr="0089011E"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r w:rsidRPr="0089011E">
              <w:rPr>
                <w:lang w:val="en-US"/>
              </w:rPr>
              <w:t>Time of seasonal peaks</w:t>
            </w:r>
          </w:p>
        </w:tc>
        <w:tc>
          <w:tcPr>
            <w:tcW w:w="2835" w:type="dxa"/>
          </w:tcPr>
          <w:p w14:paraId="41D655D1" w14:textId="77777777" w:rsidR="00EF1D77" w:rsidRPr="0089011E"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r>
      <w:tr w:rsidR="00EF1D77" w:rsidRPr="0089011E" w14:paraId="43824311" w14:textId="77777777" w:rsidTr="0065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804" w:type="dxa"/>
            <w:gridSpan w:val="2"/>
          </w:tcPr>
          <w:p w14:paraId="7BD0F696" w14:textId="77777777" w:rsidR="00EF1D77" w:rsidRPr="0089011E" w:rsidRDefault="00EF1D77" w:rsidP="00656AF0">
            <w:pPr>
              <w:pStyle w:val="Table1"/>
              <w:jc w:val="left"/>
              <w:rPr>
                <w:lang w:val="en-US"/>
              </w:rPr>
            </w:pPr>
            <w:r w:rsidRPr="0089011E">
              <w:rPr>
                <w:lang w:val="en-US"/>
              </w:rPr>
              <w:t>Resource Sensitivity Analysis</w:t>
            </w:r>
          </w:p>
        </w:tc>
        <w:tc>
          <w:tcPr>
            <w:tcW w:w="2835" w:type="dxa"/>
          </w:tcPr>
          <w:p w14:paraId="1A90E3DD"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p>
        </w:tc>
      </w:tr>
      <w:tr w:rsidR="00EF1D77" w:rsidRPr="0089011E" w14:paraId="731B1AB9" w14:textId="77777777" w:rsidTr="00656AF0">
        <w:tc>
          <w:tcPr>
            <w:cnfStyle w:val="001000000000" w:firstRow="0" w:lastRow="0" w:firstColumn="1" w:lastColumn="0" w:oddVBand="0" w:evenVBand="0" w:oddHBand="0" w:evenHBand="0" w:firstRowFirstColumn="0" w:firstRowLastColumn="0" w:lastRowFirstColumn="0" w:lastRowLastColumn="0"/>
            <w:tcW w:w="1418" w:type="dxa"/>
          </w:tcPr>
          <w:p w14:paraId="7753BC56" w14:textId="517BDDD7" w:rsidR="00EF1D77" w:rsidRPr="0089011E" w:rsidRDefault="00EF1D77" w:rsidP="00451D23">
            <w:pPr>
              <w:pStyle w:val="Table1"/>
              <w:rPr>
                <w:rFonts w:cs="Arial"/>
                <w:b w:val="0"/>
                <w:sz w:val="20"/>
                <w:szCs w:val="20"/>
                <w:lang w:val="en-US"/>
              </w:rPr>
            </w:pPr>
            <w:r>
              <w:t xml:space="preserve">Case </w:t>
            </w:r>
            <w:r w:rsidR="00451D23">
              <w:t>4</w:t>
            </w:r>
          </w:p>
        </w:tc>
        <w:tc>
          <w:tcPr>
            <w:tcW w:w="5386" w:type="dxa"/>
          </w:tcPr>
          <w:p w14:paraId="626D354A" w14:textId="77777777" w:rsidR="00EF1D77" w:rsidRPr="0089011E"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r w:rsidRPr="0089011E">
              <w:rPr>
                <w:lang w:val="en-US"/>
              </w:rPr>
              <w:t>WAX FORs</w:t>
            </w:r>
          </w:p>
        </w:tc>
        <w:tc>
          <w:tcPr>
            <w:tcW w:w="2835" w:type="dxa"/>
          </w:tcPr>
          <w:p w14:paraId="12A23014" w14:textId="77777777" w:rsidR="00EF1D77" w:rsidRPr="0089011E"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r>
      <w:tr w:rsidR="00EF1D77" w:rsidRPr="0089011E" w14:paraId="34456318" w14:textId="77777777" w:rsidTr="0065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71DD1288" w14:textId="323E8AD2" w:rsidR="00EF1D77" w:rsidRPr="0089011E" w:rsidRDefault="00EF1D77" w:rsidP="00451D23">
            <w:pPr>
              <w:pStyle w:val="Table1"/>
              <w:rPr>
                <w:rFonts w:cs="Arial"/>
                <w:b w:val="0"/>
                <w:sz w:val="20"/>
                <w:szCs w:val="20"/>
                <w:lang w:val="en-US"/>
              </w:rPr>
            </w:pPr>
            <w:r>
              <w:t xml:space="preserve">Case </w:t>
            </w:r>
            <w:r w:rsidR="00451D23">
              <w:t>5</w:t>
            </w:r>
          </w:p>
        </w:tc>
        <w:tc>
          <w:tcPr>
            <w:tcW w:w="5386" w:type="dxa"/>
          </w:tcPr>
          <w:p w14:paraId="491CD7D4"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r w:rsidRPr="0089011E">
              <w:rPr>
                <w:lang w:val="en-US"/>
              </w:rPr>
              <w:t xml:space="preserve">Double FORs </w:t>
            </w:r>
          </w:p>
        </w:tc>
        <w:tc>
          <w:tcPr>
            <w:tcW w:w="2835" w:type="dxa"/>
          </w:tcPr>
          <w:p w14:paraId="7290B38F"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r>
      <w:tr w:rsidR="00EF1D77" w:rsidRPr="0089011E" w14:paraId="68B98504" w14:textId="77777777" w:rsidTr="00656AF0">
        <w:tc>
          <w:tcPr>
            <w:cnfStyle w:val="001000000000" w:firstRow="0" w:lastRow="0" w:firstColumn="1" w:lastColumn="0" w:oddVBand="0" w:evenVBand="0" w:oddHBand="0" w:evenHBand="0" w:firstRowFirstColumn="0" w:firstRowLastColumn="0" w:lastRowFirstColumn="0" w:lastRowLastColumn="0"/>
            <w:tcW w:w="1418" w:type="dxa"/>
          </w:tcPr>
          <w:p w14:paraId="64F76A28" w14:textId="2BD17039" w:rsidR="00EF1D77" w:rsidRPr="0089011E" w:rsidRDefault="00EF1D77" w:rsidP="00451D23">
            <w:pPr>
              <w:pStyle w:val="Table1"/>
              <w:rPr>
                <w:rFonts w:cs="Arial"/>
                <w:b w:val="0"/>
                <w:sz w:val="20"/>
                <w:szCs w:val="20"/>
                <w:lang w:val="en-US"/>
              </w:rPr>
            </w:pPr>
            <w:r>
              <w:t xml:space="preserve">Case </w:t>
            </w:r>
            <w:r w:rsidR="00451D23">
              <w:t>6</w:t>
            </w:r>
          </w:p>
        </w:tc>
        <w:tc>
          <w:tcPr>
            <w:tcW w:w="5386" w:type="dxa"/>
          </w:tcPr>
          <w:p w14:paraId="02B06397" w14:textId="56137F2F" w:rsidR="00EF1D77" w:rsidRPr="0089011E" w:rsidRDefault="000C220F" w:rsidP="000C220F">
            <w:pPr>
              <w:pStyle w:val="Table1"/>
              <w:jc w:val="left"/>
              <w:cnfStyle w:val="000000000000" w:firstRow="0" w:lastRow="0" w:firstColumn="0" w:lastColumn="0" w:oddVBand="0" w:evenVBand="0" w:oddHBand="0" w:evenHBand="0" w:firstRowFirstColumn="0" w:firstRowLastColumn="0" w:lastRowFirstColumn="0" w:lastRowLastColumn="0"/>
              <w:rPr>
                <w:lang w:val="en-US"/>
              </w:rPr>
            </w:pPr>
            <w:r>
              <w:rPr>
                <w:lang w:val="en-US"/>
              </w:rPr>
              <w:t>No WAX surplus taken into account for PRM requirements</w:t>
            </w:r>
          </w:p>
        </w:tc>
        <w:tc>
          <w:tcPr>
            <w:tcW w:w="2835" w:type="dxa"/>
          </w:tcPr>
          <w:p w14:paraId="43E95047" w14:textId="77777777" w:rsidR="00EF1D77" w:rsidRPr="0089011E"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r>
      <w:tr w:rsidR="00EF1D77" w:rsidRPr="0089011E" w14:paraId="77508CC4" w14:textId="77777777" w:rsidTr="0065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030D766" w14:textId="4C6B2EDA" w:rsidR="00EF1D77" w:rsidRPr="0089011E" w:rsidRDefault="00EF1D77" w:rsidP="00451D23">
            <w:pPr>
              <w:pStyle w:val="Table1"/>
              <w:rPr>
                <w:rFonts w:cs="Arial"/>
                <w:sz w:val="20"/>
                <w:szCs w:val="20"/>
                <w:lang w:val="en-US"/>
              </w:rPr>
            </w:pPr>
            <w:r>
              <w:t xml:space="preserve">Case </w:t>
            </w:r>
            <w:r w:rsidR="00451D23">
              <w:t>7</w:t>
            </w:r>
          </w:p>
        </w:tc>
        <w:tc>
          <w:tcPr>
            <w:tcW w:w="5386" w:type="dxa"/>
          </w:tcPr>
          <w:p w14:paraId="5CC441F0"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r w:rsidRPr="0089011E">
              <w:rPr>
                <w:lang w:val="en-US"/>
              </w:rPr>
              <w:t>No additional capacity for gaps</w:t>
            </w:r>
          </w:p>
        </w:tc>
        <w:tc>
          <w:tcPr>
            <w:tcW w:w="2835" w:type="dxa"/>
          </w:tcPr>
          <w:p w14:paraId="702284E1"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r>
              <w:rPr>
                <w:lang w:val="en-US"/>
              </w:rPr>
              <w:t>No</w:t>
            </w:r>
            <w:r w:rsidRPr="0089011E" w:rsidDel="001D0CDA">
              <w:rPr>
                <w:lang w:val="en-US"/>
              </w:rPr>
              <w:t xml:space="preserve"> </w:t>
            </w:r>
            <w:r>
              <w:rPr>
                <w:lang w:val="en-US"/>
              </w:rPr>
              <w:t>(expected gaps must be met)</w:t>
            </w:r>
          </w:p>
        </w:tc>
      </w:tr>
      <w:tr w:rsidR="00EF1D77" w:rsidRPr="0089011E" w14:paraId="46FED4B8" w14:textId="77777777" w:rsidTr="00656AF0">
        <w:tc>
          <w:tcPr>
            <w:cnfStyle w:val="001000000000" w:firstRow="0" w:lastRow="0" w:firstColumn="1" w:lastColumn="0" w:oddVBand="0" w:evenVBand="0" w:oddHBand="0" w:evenHBand="0" w:firstRowFirstColumn="0" w:firstRowLastColumn="0" w:lastRowFirstColumn="0" w:lastRowLastColumn="0"/>
            <w:tcW w:w="6804" w:type="dxa"/>
            <w:gridSpan w:val="2"/>
          </w:tcPr>
          <w:p w14:paraId="68354418" w14:textId="77777777" w:rsidR="00EF1D77" w:rsidRPr="0089011E" w:rsidRDefault="00EF1D77" w:rsidP="00656AF0">
            <w:pPr>
              <w:pStyle w:val="Table1"/>
              <w:jc w:val="left"/>
              <w:rPr>
                <w:lang w:val="en-US"/>
              </w:rPr>
            </w:pPr>
            <w:r w:rsidRPr="0089011E">
              <w:rPr>
                <w:lang w:val="en-US"/>
              </w:rPr>
              <w:t>Market Sensitivity Analysis</w:t>
            </w:r>
          </w:p>
        </w:tc>
        <w:tc>
          <w:tcPr>
            <w:tcW w:w="2835" w:type="dxa"/>
          </w:tcPr>
          <w:p w14:paraId="5E824786" w14:textId="77777777" w:rsidR="00EF1D77" w:rsidRPr="0089011E"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p>
        </w:tc>
      </w:tr>
      <w:tr w:rsidR="00EF1D77" w:rsidRPr="0089011E" w14:paraId="641FAA39" w14:textId="77777777" w:rsidTr="0065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933660B" w14:textId="4438DB59" w:rsidR="00EF1D77" w:rsidRPr="0089011E" w:rsidRDefault="00EF1D77" w:rsidP="00451D23">
            <w:pPr>
              <w:pStyle w:val="Table1"/>
              <w:rPr>
                <w:rFonts w:cs="Arial"/>
                <w:b w:val="0"/>
                <w:sz w:val="20"/>
                <w:szCs w:val="20"/>
                <w:lang w:val="en-US"/>
              </w:rPr>
            </w:pPr>
            <w:r>
              <w:t xml:space="preserve">Case </w:t>
            </w:r>
            <w:r w:rsidR="00451D23">
              <w:t>8</w:t>
            </w:r>
          </w:p>
        </w:tc>
        <w:tc>
          <w:tcPr>
            <w:tcW w:w="5386" w:type="dxa"/>
          </w:tcPr>
          <w:p w14:paraId="03DE8D9D"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r w:rsidRPr="0089011E">
              <w:rPr>
                <w:lang w:val="en-US"/>
              </w:rPr>
              <w:t>Market sizes at the base case FOR</w:t>
            </w:r>
          </w:p>
        </w:tc>
        <w:tc>
          <w:tcPr>
            <w:tcW w:w="2835" w:type="dxa"/>
          </w:tcPr>
          <w:p w14:paraId="0BEB7CCE"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r>
      <w:tr w:rsidR="00EF1D77" w:rsidRPr="0089011E" w14:paraId="26BC81C2" w14:textId="77777777" w:rsidTr="00656AF0">
        <w:tc>
          <w:tcPr>
            <w:cnfStyle w:val="001000000000" w:firstRow="0" w:lastRow="0" w:firstColumn="1" w:lastColumn="0" w:oddVBand="0" w:evenVBand="0" w:oddHBand="0" w:evenHBand="0" w:firstRowFirstColumn="0" w:firstRowLastColumn="0" w:lastRowFirstColumn="0" w:lastRowLastColumn="0"/>
            <w:tcW w:w="1418" w:type="dxa"/>
          </w:tcPr>
          <w:p w14:paraId="2DD2402C" w14:textId="28069241" w:rsidR="00EF1D77" w:rsidRPr="0089011E" w:rsidRDefault="00EF1D77" w:rsidP="00451D23">
            <w:pPr>
              <w:pStyle w:val="Table1"/>
              <w:rPr>
                <w:rFonts w:cs="Arial"/>
                <w:b w:val="0"/>
                <w:sz w:val="20"/>
                <w:szCs w:val="20"/>
                <w:lang w:val="en-US"/>
              </w:rPr>
            </w:pPr>
            <w:r>
              <w:t xml:space="preserve">Case </w:t>
            </w:r>
            <w:r w:rsidR="00451D23">
              <w:t>9</w:t>
            </w:r>
          </w:p>
        </w:tc>
        <w:tc>
          <w:tcPr>
            <w:tcW w:w="5386" w:type="dxa"/>
          </w:tcPr>
          <w:p w14:paraId="75F4AE4C" w14:textId="77777777" w:rsidR="00EF1D77" w:rsidRPr="0089011E"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r w:rsidRPr="0089011E">
              <w:rPr>
                <w:lang w:val="en-US"/>
              </w:rPr>
              <w:t>No market access</w:t>
            </w:r>
          </w:p>
        </w:tc>
        <w:tc>
          <w:tcPr>
            <w:tcW w:w="2835" w:type="dxa"/>
          </w:tcPr>
          <w:p w14:paraId="46CFA367" w14:textId="77777777" w:rsidR="00EF1D77" w:rsidRPr="0089011E"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r>
              <w:rPr>
                <w:lang w:val="en-US"/>
              </w:rPr>
              <w:t xml:space="preserve">No (alternative capacity is needed) </w:t>
            </w:r>
          </w:p>
        </w:tc>
      </w:tr>
      <w:tr w:rsidR="00EF1D77" w:rsidRPr="0089011E" w14:paraId="75A465F6" w14:textId="77777777" w:rsidTr="0065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28CAB310" w14:textId="47095A63" w:rsidR="00EF1D77" w:rsidRPr="0089011E" w:rsidRDefault="00EF1D77" w:rsidP="00451D23">
            <w:pPr>
              <w:pStyle w:val="Table1"/>
              <w:rPr>
                <w:rFonts w:cs="Arial"/>
                <w:b w:val="0"/>
                <w:sz w:val="20"/>
                <w:szCs w:val="20"/>
                <w:lang w:val="en-US"/>
              </w:rPr>
            </w:pPr>
            <w:r>
              <w:t xml:space="preserve">Case </w:t>
            </w:r>
            <w:r w:rsidR="00451D23">
              <w:t>10</w:t>
            </w:r>
          </w:p>
        </w:tc>
        <w:tc>
          <w:tcPr>
            <w:tcW w:w="5386" w:type="dxa"/>
          </w:tcPr>
          <w:p w14:paraId="03444083"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r w:rsidRPr="0089011E">
              <w:rPr>
                <w:lang w:val="en-US"/>
              </w:rPr>
              <w:t>Market FORs at 150MW</w:t>
            </w:r>
          </w:p>
        </w:tc>
        <w:tc>
          <w:tcPr>
            <w:tcW w:w="2835" w:type="dxa"/>
          </w:tcPr>
          <w:p w14:paraId="6C6B90F1"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r>
    </w:tbl>
    <w:p w14:paraId="3EE87B3D" w14:textId="77777777" w:rsidR="00EF1D77" w:rsidRPr="0089011E" w:rsidRDefault="00EF1D77" w:rsidP="00EF1D77">
      <w:pPr>
        <w:pStyle w:val="Heading3"/>
      </w:pPr>
      <w:bookmarkStart w:id="52" w:name="_Toc355786962"/>
      <w:bookmarkStart w:id="53" w:name="_Toc383170524"/>
      <w:bookmarkStart w:id="54" w:name="_Toc426649358"/>
      <w:r w:rsidRPr="0089011E">
        <w:t>Load Sensitivity Analysis</w:t>
      </w:r>
      <w:bookmarkEnd w:id="52"/>
      <w:bookmarkEnd w:id="53"/>
      <w:bookmarkEnd w:id="54"/>
    </w:p>
    <w:p w14:paraId="77CCAA26" w14:textId="4ACBF5AF" w:rsidR="00EF1D77" w:rsidRDefault="00EF1D77" w:rsidP="00EF1D77">
      <w:pPr>
        <w:rPr>
          <w:lang w:val="en-US"/>
        </w:rPr>
      </w:pPr>
      <w:r>
        <w:rPr>
          <w:lang w:val="en-US"/>
        </w:rPr>
        <w:t>Cases in this sensitivity group addressed peak demands higher than those in the base case</w:t>
      </w:r>
      <w:r w:rsidR="00DD45F9">
        <w:rPr>
          <w:lang w:val="en-US"/>
        </w:rPr>
        <w:t>.</w:t>
      </w:r>
      <w:r>
        <w:rPr>
          <w:lang w:val="en-US"/>
        </w:rPr>
        <w:t xml:space="preserve"> </w:t>
      </w:r>
      <w:r w:rsidR="00DD45F9">
        <w:rPr>
          <w:lang w:val="en-US"/>
        </w:rPr>
        <w:t xml:space="preserve">This </w:t>
      </w:r>
      <w:r>
        <w:rPr>
          <w:lang w:val="en-US"/>
        </w:rPr>
        <w:t>includ</w:t>
      </w:r>
      <w:r w:rsidR="00DD45F9">
        <w:rPr>
          <w:lang w:val="en-US"/>
        </w:rPr>
        <w:t>es</w:t>
      </w:r>
      <w:r>
        <w:rPr>
          <w:lang w:val="en-US"/>
        </w:rPr>
        <w:t xml:space="preserve"> the High load case due to economic drivers </w:t>
      </w:r>
      <w:r w:rsidR="00724E9E">
        <w:rPr>
          <w:lang w:val="en-US"/>
        </w:rPr>
        <w:t>from</w:t>
      </w:r>
      <w:r>
        <w:rPr>
          <w:lang w:val="en-US"/>
        </w:rPr>
        <w:t xml:space="preserve"> the 2012 Resource Plan</w:t>
      </w:r>
      <w:r w:rsidR="00724E9E">
        <w:rPr>
          <w:lang w:val="en-US"/>
        </w:rPr>
        <w:t>,</w:t>
      </w:r>
      <w:r>
        <w:rPr>
          <w:lang w:val="en-US"/>
        </w:rPr>
        <w:t xml:space="preserve"> in</w:t>
      </w:r>
      <w:r w:rsidR="00724E9E">
        <w:rPr>
          <w:lang w:val="en-US"/>
        </w:rPr>
        <w:t>dustrial self-generating load in</w:t>
      </w:r>
      <w:r>
        <w:rPr>
          <w:lang w:val="en-US"/>
        </w:rPr>
        <w:t xml:space="preserve">cluded, and </w:t>
      </w:r>
      <w:r w:rsidR="00724E9E">
        <w:rPr>
          <w:lang w:val="en-US"/>
        </w:rPr>
        <w:t>moving the time of the seasonal peak</w:t>
      </w:r>
      <w:r w:rsidR="00B91D39">
        <w:rPr>
          <w:lang w:val="en-US"/>
        </w:rPr>
        <w:t>s</w:t>
      </w:r>
      <w:r w:rsidR="00724E9E">
        <w:rPr>
          <w:lang w:val="en-US"/>
        </w:rPr>
        <w:t>.</w:t>
      </w:r>
    </w:p>
    <w:p w14:paraId="01A86F97" w14:textId="77777777" w:rsidR="00EF1D77" w:rsidRPr="001443E3" w:rsidRDefault="00EF1D77" w:rsidP="00EF1D77">
      <w:pPr>
        <w:pStyle w:val="Heading7"/>
      </w:pPr>
      <w:bookmarkStart w:id="55" w:name="_Ref355860445"/>
      <w:r>
        <w:t>Case 1.  High Forecast due to Economic D</w:t>
      </w:r>
      <w:r w:rsidRPr="001443E3">
        <w:t>rivers</w:t>
      </w:r>
      <w:bookmarkEnd w:id="55"/>
    </w:p>
    <w:p w14:paraId="35CDAA08" w14:textId="77777777" w:rsidR="00EF1D77" w:rsidRDefault="00EF1D77" w:rsidP="00EF1D77">
      <w:pPr>
        <w:rPr>
          <w:b/>
          <w:bCs/>
          <w:color w:val="4F81BD" w:themeColor="accent1"/>
          <w:sz w:val="20"/>
          <w:szCs w:val="18"/>
        </w:rPr>
      </w:pPr>
      <w:r>
        <w:rPr>
          <w:lang w:val="en-US"/>
        </w:rPr>
        <w:t>This case addresses impacts on LOLE if the peak demand equals the High load scenario (90% percentile, or 1-in-10) in the 2012 Resource Plan due to economic strength. This High load forecast is shown in Table C-3, Appendix C of this report. Since there are typically indicators for stronger economic growth and it takes several years for load to build from load growth, additional peak demand can be anticipated with sufficient lead time for the Company to increase capacity in a timely manner to meet capacity gaps. As a result, LOLEs in this scenario still meet the target of 0.1 day/year as shown in Table 3-3 even though more load is subject to an assumed generation FOR of 5%.</w:t>
      </w:r>
    </w:p>
    <w:p w14:paraId="2E00B4E6" w14:textId="77777777" w:rsidR="00EF1D77" w:rsidRDefault="00EF1D77" w:rsidP="00EF1D77">
      <w:pPr>
        <w:pStyle w:val="TableHeading"/>
      </w:pPr>
      <w:bookmarkStart w:id="56" w:name="_Toc421190631"/>
      <w:r>
        <w:t>Table 3-3:  LOLE in Case 1 – High Load Forecast Due to Economic Drivers</w:t>
      </w:r>
      <w:bookmarkEnd w:id="56"/>
      <w:r>
        <w:t xml:space="preserve"> </w:t>
      </w:r>
    </w:p>
    <w:tbl>
      <w:tblPr>
        <w:tblStyle w:val="LightList-Accent11"/>
        <w:tblW w:w="10240" w:type="dxa"/>
        <w:tblLook w:val="04A0" w:firstRow="1" w:lastRow="0" w:firstColumn="1" w:lastColumn="0" w:noHBand="0" w:noVBand="1"/>
      </w:tblPr>
      <w:tblGrid>
        <w:gridCol w:w="617"/>
        <w:gridCol w:w="667"/>
        <w:gridCol w:w="667"/>
        <w:gridCol w:w="667"/>
        <w:gridCol w:w="667"/>
        <w:gridCol w:w="667"/>
        <w:gridCol w:w="667"/>
        <w:gridCol w:w="667"/>
        <w:gridCol w:w="667"/>
        <w:gridCol w:w="667"/>
        <w:gridCol w:w="667"/>
        <w:gridCol w:w="667"/>
        <w:gridCol w:w="667"/>
        <w:gridCol w:w="843"/>
        <w:gridCol w:w="776"/>
      </w:tblGrid>
      <w:tr w:rsidR="002E00AD" w:rsidRPr="00E24C3D" w14:paraId="5D13EC36" w14:textId="47567C9E" w:rsidTr="00DD45F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6C289F23" w14:textId="77777777" w:rsidR="002E00AD" w:rsidRPr="00864899" w:rsidRDefault="002E00AD" w:rsidP="00656AF0">
            <w:pPr>
              <w:pStyle w:val="Table1"/>
            </w:pPr>
            <w:r w:rsidRPr="00864899">
              <w:t>Year</w:t>
            </w:r>
          </w:p>
        </w:tc>
        <w:tc>
          <w:tcPr>
            <w:tcW w:w="667" w:type="dxa"/>
            <w:vAlign w:val="bottom"/>
          </w:tcPr>
          <w:p w14:paraId="6D6DFBC5" w14:textId="77777777" w:rsidR="002E00AD" w:rsidRPr="00864899" w:rsidRDefault="002E00AD" w:rsidP="00656AF0">
            <w:pPr>
              <w:pStyle w:val="Table1"/>
              <w:cnfStyle w:val="100000000000" w:firstRow="1" w:lastRow="0" w:firstColumn="0" w:lastColumn="0" w:oddVBand="0" w:evenVBand="0" w:oddHBand="0" w:evenHBand="0" w:firstRowFirstColumn="0" w:firstRowLastColumn="0" w:lastRowFirstColumn="0" w:lastRowLastColumn="0"/>
            </w:pPr>
            <w:r w:rsidRPr="00864899">
              <w:t>Jan</w:t>
            </w:r>
          </w:p>
        </w:tc>
        <w:tc>
          <w:tcPr>
            <w:tcW w:w="667" w:type="dxa"/>
            <w:vAlign w:val="bottom"/>
          </w:tcPr>
          <w:p w14:paraId="2F60B0B9" w14:textId="77777777" w:rsidR="002E00AD" w:rsidRPr="00864899" w:rsidRDefault="002E00AD" w:rsidP="00656AF0">
            <w:pPr>
              <w:pStyle w:val="Table1"/>
              <w:cnfStyle w:val="100000000000" w:firstRow="1" w:lastRow="0" w:firstColumn="0" w:lastColumn="0" w:oddVBand="0" w:evenVBand="0" w:oddHBand="0" w:evenHBand="0" w:firstRowFirstColumn="0" w:firstRowLastColumn="0" w:lastRowFirstColumn="0" w:lastRowLastColumn="0"/>
            </w:pPr>
            <w:r w:rsidRPr="00864899">
              <w:t>Feb</w:t>
            </w:r>
          </w:p>
        </w:tc>
        <w:tc>
          <w:tcPr>
            <w:tcW w:w="667" w:type="dxa"/>
            <w:vAlign w:val="bottom"/>
          </w:tcPr>
          <w:p w14:paraId="635B7653" w14:textId="77777777" w:rsidR="002E00AD" w:rsidRPr="00864899" w:rsidRDefault="002E00AD" w:rsidP="00656AF0">
            <w:pPr>
              <w:pStyle w:val="Table1"/>
              <w:cnfStyle w:val="100000000000" w:firstRow="1" w:lastRow="0" w:firstColumn="0" w:lastColumn="0" w:oddVBand="0" w:evenVBand="0" w:oddHBand="0" w:evenHBand="0" w:firstRowFirstColumn="0" w:firstRowLastColumn="0" w:lastRowFirstColumn="0" w:lastRowLastColumn="0"/>
            </w:pPr>
            <w:r w:rsidRPr="00864899">
              <w:t>Mar</w:t>
            </w:r>
          </w:p>
        </w:tc>
        <w:tc>
          <w:tcPr>
            <w:tcW w:w="667" w:type="dxa"/>
            <w:vAlign w:val="bottom"/>
          </w:tcPr>
          <w:p w14:paraId="46D72A64" w14:textId="77777777" w:rsidR="002E00AD" w:rsidRPr="00864899" w:rsidRDefault="002E00AD" w:rsidP="00656AF0">
            <w:pPr>
              <w:pStyle w:val="Table1"/>
              <w:cnfStyle w:val="100000000000" w:firstRow="1" w:lastRow="0" w:firstColumn="0" w:lastColumn="0" w:oddVBand="0" w:evenVBand="0" w:oddHBand="0" w:evenHBand="0" w:firstRowFirstColumn="0" w:firstRowLastColumn="0" w:lastRowFirstColumn="0" w:lastRowLastColumn="0"/>
            </w:pPr>
            <w:r w:rsidRPr="00864899">
              <w:t>Apr</w:t>
            </w:r>
          </w:p>
        </w:tc>
        <w:tc>
          <w:tcPr>
            <w:tcW w:w="667" w:type="dxa"/>
            <w:vAlign w:val="bottom"/>
          </w:tcPr>
          <w:p w14:paraId="478208CF" w14:textId="77777777" w:rsidR="002E00AD" w:rsidRPr="00864899" w:rsidRDefault="002E00AD" w:rsidP="00656AF0">
            <w:pPr>
              <w:pStyle w:val="Table1"/>
              <w:cnfStyle w:val="100000000000" w:firstRow="1" w:lastRow="0" w:firstColumn="0" w:lastColumn="0" w:oddVBand="0" w:evenVBand="0" w:oddHBand="0" w:evenHBand="0" w:firstRowFirstColumn="0" w:firstRowLastColumn="0" w:lastRowFirstColumn="0" w:lastRowLastColumn="0"/>
            </w:pPr>
            <w:r w:rsidRPr="00864899">
              <w:t>May</w:t>
            </w:r>
          </w:p>
        </w:tc>
        <w:tc>
          <w:tcPr>
            <w:tcW w:w="667" w:type="dxa"/>
            <w:vAlign w:val="bottom"/>
          </w:tcPr>
          <w:p w14:paraId="6298B5CE" w14:textId="77777777" w:rsidR="002E00AD" w:rsidRPr="00864899" w:rsidRDefault="002E00AD" w:rsidP="00656AF0">
            <w:pPr>
              <w:pStyle w:val="Table1"/>
              <w:cnfStyle w:val="100000000000" w:firstRow="1" w:lastRow="0" w:firstColumn="0" w:lastColumn="0" w:oddVBand="0" w:evenVBand="0" w:oddHBand="0" w:evenHBand="0" w:firstRowFirstColumn="0" w:firstRowLastColumn="0" w:lastRowFirstColumn="0" w:lastRowLastColumn="0"/>
            </w:pPr>
            <w:r w:rsidRPr="00864899">
              <w:t>Jun</w:t>
            </w:r>
          </w:p>
        </w:tc>
        <w:tc>
          <w:tcPr>
            <w:tcW w:w="667" w:type="dxa"/>
            <w:vAlign w:val="bottom"/>
          </w:tcPr>
          <w:p w14:paraId="17837A0D" w14:textId="77777777" w:rsidR="002E00AD" w:rsidRPr="00864899" w:rsidRDefault="002E00AD" w:rsidP="00656AF0">
            <w:pPr>
              <w:pStyle w:val="Table1"/>
              <w:cnfStyle w:val="100000000000" w:firstRow="1" w:lastRow="0" w:firstColumn="0" w:lastColumn="0" w:oddVBand="0" w:evenVBand="0" w:oddHBand="0" w:evenHBand="0" w:firstRowFirstColumn="0" w:firstRowLastColumn="0" w:lastRowFirstColumn="0" w:lastRowLastColumn="0"/>
            </w:pPr>
            <w:r w:rsidRPr="00864899">
              <w:t>Jul</w:t>
            </w:r>
          </w:p>
        </w:tc>
        <w:tc>
          <w:tcPr>
            <w:tcW w:w="667" w:type="dxa"/>
            <w:vAlign w:val="bottom"/>
          </w:tcPr>
          <w:p w14:paraId="29EE12E0" w14:textId="77777777" w:rsidR="002E00AD" w:rsidRPr="00864899" w:rsidRDefault="002E00AD" w:rsidP="00656AF0">
            <w:pPr>
              <w:pStyle w:val="Table1"/>
              <w:cnfStyle w:val="100000000000" w:firstRow="1" w:lastRow="0" w:firstColumn="0" w:lastColumn="0" w:oddVBand="0" w:evenVBand="0" w:oddHBand="0" w:evenHBand="0" w:firstRowFirstColumn="0" w:firstRowLastColumn="0" w:lastRowFirstColumn="0" w:lastRowLastColumn="0"/>
            </w:pPr>
            <w:r w:rsidRPr="00864899">
              <w:t>Aug</w:t>
            </w:r>
          </w:p>
        </w:tc>
        <w:tc>
          <w:tcPr>
            <w:tcW w:w="667" w:type="dxa"/>
            <w:vAlign w:val="bottom"/>
          </w:tcPr>
          <w:p w14:paraId="2D56E029" w14:textId="77777777" w:rsidR="002E00AD" w:rsidRPr="00864899" w:rsidRDefault="002E00AD" w:rsidP="00656AF0">
            <w:pPr>
              <w:pStyle w:val="Table1"/>
              <w:cnfStyle w:val="100000000000" w:firstRow="1" w:lastRow="0" w:firstColumn="0" w:lastColumn="0" w:oddVBand="0" w:evenVBand="0" w:oddHBand="0" w:evenHBand="0" w:firstRowFirstColumn="0" w:firstRowLastColumn="0" w:lastRowFirstColumn="0" w:lastRowLastColumn="0"/>
            </w:pPr>
            <w:r w:rsidRPr="00864899">
              <w:t>Sep</w:t>
            </w:r>
          </w:p>
        </w:tc>
        <w:tc>
          <w:tcPr>
            <w:tcW w:w="667" w:type="dxa"/>
            <w:vAlign w:val="bottom"/>
          </w:tcPr>
          <w:p w14:paraId="78E254FD" w14:textId="77777777" w:rsidR="002E00AD" w:rsidRPr="00864899" w:rsidRDefault="002E00AD" w:rsidP="00656AF0">
            <w:pPr>
              <w:pStyle w:val="Table1"/>
              <w:cnfStyle w:val="100000000000" w:firstRow="1" w:lastRow="0" w:firstColumn="0" w:lastColumn="0" w:oddVBand="0" w:evenVBand="0" w:oddHBand="0" w:evenHBand="0" w:firstRowFirstColumn="0" w:firstRowLastColumn="0" w:lastRowFirstColumn="0" w:lastRowLastColumn="0"/>
            </w:pPr>
            <w:r w:rsidRPr="00864899">
              <w:t>Oct</w:t>
            </w:r>
          </w:p>
        </w:tc>
        <w:tc>
          <w:tcPr>
            <w:tcW w:w="667" w:type="dxa"/>
            <w:vAlign w:val="bottom"/>
          </w:tcPr>
          <w:p w14:paraId="1DE374C9" w14:textId="77777777" w:rsidR="002E00AD" w:rsidRPr="00864899" w:rsidRDefault="002E00AD" w:rsidP="00656AF0">
            <w:pPr>
              <w:pStyle w:val="Table1"/>
              <w:cnfStyle w:val="100000000000" w:firstRow="1" w:lastRow="0" w:firstColumn="0" w:lastColumn="0" w:oddVBand="0" w:evenVBand="0" w:oddHBand="0" w:evenHBand="0" w:firstRowFirstColumn="0" w:firstRowLastColumn="0" w:lastRowFirstColumn="0" w:lastRowLastColumn="0"/>
            </w:pPr>
            <w:r w:rsidRPr="00864899">
              <w:t>Nov</w:t>
            </w:r>
          </w:p>
        </w:tc>
        <w:tc>
          <w:tcPr>
            <w:tcW w:w="667" w:type="dxa"/>
            <w:vAlign w:val="bottom"/>
          </w:tcPr>
          <w:p w14:paraId="3A03F4B3" w14:textId="77777777" w:rsidR="002E00AD" w:rsidRPr="00864899" w:rsidRDefault="002E00AD" w:rsidP="00656AF0">
            <w:pPr>
              <w:pStyle w:val="Table1"/>
              <w:cnfStyle w:val="100000000000" w:firstRow="1" w:lastRow="0" w:firstColumn="0" w:lastColumn="0" w:oddVBand="0" w:evenVBand="0" w:oddHBand="0" w:evenHBand="0" w:firstRowFirstColumn="0" w:firstRowLastColumn="0" w:lastRowFirstColumn="0" w:lastRowLastColumn="0"/>
            </w:pPr>
            <w:r w:rsidRPr="00864899">
              <w:t>Dec</w:t>
            </w:r>
          </w:p>
        </w:tc>
        <w:tc>
          <w:tcPr>
            <w:tcW w:w="843" w:type="dxa"/>
            <w:vAlign w:val="bottom"/>
          </w:tcPr>
          <w:p w14:paraId="44CF3AEA" w14:textId="77777777" w:rsidR="002E00AD" w:rsidRPr="00864899" w:rsidRDefault="002E00AD" w:rsidP="00656AF0">
            <w:pPr>
              <w:pStyle w:val="Table1"/>
              <w:cnfStyle w:val="100000000000" w:firstRow="1" w:lastRow="0" w:firstColumn="0" w:lastColumn="0" w:oddVBand="0" w:evenVBand="0" w:oddHBand="0" w:evenHBand="0" w:firstRowFirstColumn="0" w:firstRowLastColumn="0" w:lastRowFirstColumn="0" w:lastRowLastColumn="0"/>
            </w:pPr>
            <w:r w:rsidRPr="00864899">
              <w:t>Annual</w:t>
            </w:r>
          </w:p>
        </w:tc>
        <w:tc>
          <w:tcPr>
            <w:tcW w:w="776" w:type="dxa"/>
          </w:tcPr>
          <w:p w14:paraId="5BF7A153" w14:textId="2AC2E12E" w:rsidR="002E00AD" w:rsidRPr="00864899" w:rsidRDefault="002E00AD" w:rsidP="00656AF0">
            <w:pPr>
              <w:pStyle w:val="Table1"/>
              <w:cnfStyle w:val="100000000000" w:firstRow="1" w:lastRow="0" w:firstColumn="0" w:lastColumn="0" w:oddVBand="0" w:evenVBand="0" w:oddHBand="0" w:evenHBand="0" w:firstRowFirstColumn="0" w:firstRowLastColumn="0" w:lastRowFirstColumn="0" w:lastRowLastColumn="0"/>
            </w:pPr>
            <w:r>
              <w:t>Winter PRM</w:t>
            </w:r>
          </w:p>
        </w:tc>
      </w:tr>
      <w:tr w:rsidR="000C0D15" w:rsidRPr="0089011E" w14:paraId="55A2D510" w14:textId="45F4C485" w:rsidTr="00DD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6059BF36" w14:textId="08820A0D" w:rsidR="000C0D15" w:rsidRPr="00864899" w:rsidRDefault="000C0D15" w:rsidP="00656AF0">
            <w:pPr>
              <w:pStyle w:val="Table1"/>
            </w:pPr>
            <w:r w:rsidRPr="00864899">
              <w:t>2014</w:t>
            </w:r>
          </w:p>
        </w:tc>
        <w:tc>
          <w:tcPr>
            <w:tcW w:w="667" w:type="dxa"/>
          </w:tcPr>
          <w:p w14:paraId="6E097486" w14:textId="7FC839A9"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7BC826D2" w14:textId="3F58F74A"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6262207C" w14:textId="5313A521"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0.005</w:t>
            </w:r>
          </w:p>
        </w:tc>
        <w:tc>
          <w:tcPr>
            <w:tcW w:w="667" w:type="dxa"/>
          </w:tcPr>
          <w:p w14:paraId="69851ACC" w14:textId="33B2B543"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3261F793" w14:textId="69E08FBF"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736398B8" w14:textId="66F78C5E"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0.001</w:t>
            </w:r>
          </w:p>
        </w:tc>
        <w:tc>
          <w:tcPr>
            <w:tcW w:w="667" w:type="dxa"/>
          </w:tcPr>
          <w:p w14:paraId="4EE6AE46" w14:textId="41D0E743"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0.001</w:t>
            </w:r>
          </w:p>
        </w:tc>
        <w:tc>
          <w:tcPr>
            <w:tcW w:w="667" w:type="dxa"/>
          </w:tcPr>
          <w:p w14:paraId="02B88EC5" w14:textId="0644CB83"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0.004</w:t>
            </w:r>
          </w:p>
        </w:tc>
        <w:tc>
          <w:tcPr>
            <w:tcW w:w="667" w:type="dxa"/>
          </w:tcPr>
          <w:p w14:paraId="7D49DF26" w14:textId="18400FB9"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1602AEDE" w14:textId="6CA7E959"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7FFB4101" w14:textId="00AFDD91"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0.001</w:t>
            </w:r>
          </w:p>
        </w:tc>
        <w:tc>
          <w:tcPr>
            <w:tcW w:w="667" w:type="dxa"/>
          </w:tcPr>
          <w:p w14:paraId="64F9B2B4" w14:textId="75D3BC3E"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843" w:type="dxa"/>
          </w:tcPr>
          <w:p w14:paraId="5A49A098" w14:textId="56E99C0C"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0.012</w:t>
            </w:r>
          </w:p>
        </w:tc>
        <w:tc>
          <w:tcPr>
            <w:tcW w:w="776" w:type="dxa"/>
          </w:tcPr>
          <w:p w14:paraId="5A23F436" w14:textId="566F4E01"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F520BD">
              <w:t>25%</w:t>
            </w:r>
          </w:p>
        </w:tc>
      </w:tr>
      <w:tr w:rsidR="000C0D15" w:rsidRPr="0089011E" w14:paraId="1640170E" w14:textId="305CA9EA" w:rsidTr="00DD45F9">
        <w:tc>
          <w:tcPr>
            <w:cnfStyle w:val="001000000000" w:firstRow="0" w:lastRow="0" w:firstColumn="1" w:lastColumn="0" w:oddVBand="0" w:evenVBand="0" w:oddHBand="0" w:evenHBand="0" w:firstRowFirstColumn="0" w:firstRowLastColumn="0" w:lastRowFirstColumn="0" w:lastRowLastColumn="0"/>
            <w:tcW w:w="617" w:type="dxa"/>
            <w:vAlign w:val="bottom"/>
          </w:tcPr>
          <w:p w14:paraId="62D4AB97" w14:textId="77777777" w:rsidR="000C0D15" w:rsidRPr="00864899" w:rsidRDefault="000C0D15" w:rsidP="00656AF0">
            <w:pPr>
              <w:pStyle w:val="Table1"/>
            </w:pPr>
            <w:r w:rsidRPr="00864899">
              <w:t>2015</w:t>
            </w:r>
          </w:p>
        </w:tc>
        <w:tc>
          <w:tcPr>
            <w:tcW w:w="667" w:type="dxa"/>
          </w:tcPr>
          <w:p w14:paraId="13C7A576"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6D235F08"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0.002</w:t>
            </w:r>
          </w:p>
        </w:tc>
        <w:tc>
          <w:tcPr>
            <w:tcW w:w="667" w:type="dxa"/>
          </w:tcPr>
          <w:p w14:paraId="34A97C10"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0.017</w:t>
            </w:r>
          </w:p>
        </w:tc>
        <w:tc>
          <w:tcPr>
            <w:tcW w:w="667" w:type="dxa"/>
          </w:tcPr>
          <w:p w14:paraId="65093BB1"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2E43DE64"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7CB75F77"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21D660D4"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0.003</w:t>
            </w:r>
          </w:p>
        </w:tc>
        <w:tc>
          <w:tcPr>
            <w:tcW w:w="667" w:type="dxa"/>
          </w:tcPr>
          <w:p w14:paraId="384D5D96"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0B0C22A8"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6B9A2E5E"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14F1B3DA"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178D74A9"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0.004</w:t>
            </w:r>
          </w:p>
        </w:tc>
        <w:tc>
          <w:tcPr>
            <w:tcW w:w="843" w:type="dxa"/>
          </w:tcPr>
          <w:p w14:paraId="28C12F4B"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0.029</w:t>
            </w:r>
          </w:p>
        </w:tc>
        <w:tc>
          <w:tcPr>
            <w:tcW w:w="776" w:type="dxa"/>
          </w:tcPr>
          <w:p w14:paraId="6DEF37DE" w14:textId="07106185"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F520BD">
              <w:t>26%</w:t>
            </w:r>
          </w:p>
        </w:tc>
      </w:tr>
      <w:tr w:rsidR="000C0D15" w:rsidRPr="0089011E" w14:paraId="1F0797DE" w14:textId="0D3F32E4" w:rsidTr="00DD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33C14084" w14:textId="77777777" w:rsidR="000C0D15" w:rsidRPr="00864899" w:rsidRDefault="000C0D15" w:rsidP="00656AF0">
            <w:pPr>
              <w:pStyle w:val="Table1"/>
            </w:pPr>
            <w:r w:rsidRPr="00864899">
              <w:t>2016</w:t>
            </w:r>
          </w:p>
        </w:tc>
        <w:tc>
          <w:tcPr>
            <w:tcW w:w="667" w:type="dxa"/>
          </w:tcPr>
          <w:p w14:paraId="17D4C5EC"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0.005</w:t>
            </w:r>
          </w:p>
        </w:tc>
        <w:tc>
          <w:tcPr>
            <w:tcW w:w="667" w:type="dxa"/>
          </w:tcPr>
          <w:p w14:paraId="58B9AA87"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7128B122"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0.002</w:t>
            </w:r>
          </w:p>
        </w:tc>
        <w:tc>
          <w:tcPr>
            <w:tcW w:w="667" w:type="dxa"/>
          </w:tcPr>
          <w:p w14:paraId="41205D2A"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0.001</w:t>
            </w:r>
          </w:p>
        </w:tc>
        <w:tc>
          <w:tcPr>
            <w:tcW w:w="667" w:type="dxa"/>
          </w:tcPr>
          <w:p w14:paraId="11A2D8D2"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2F64AB7C"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0.002</w:t>
            </w:r>
          </w:p>
        </w:tc>
        <w:tc>
          <w:tcPr>
            <w:tcW w:w="667" w:type="dxa"/>
          </w:tcPr>
          <w:p w14:paraId="44137A8E"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3A517081"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6155D350"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349884B9"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5A286CD2"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5BE3964B"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0.009</w:t>
            </w:r>
          </w:p>
        </w:tc>
        <w:tc>
          <w:tcPr>
            <w:tcW w:w="843" w:type="dxa"/>
          </w:tcPr>
          <w:p w14:paraId="4509AB90"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0.019</w:t>
            </w:r>
          </w:p>
        </w:tc>
        <w:tc>
          <w:tcPr>
            <w:tcW w:w="776" w:type="dxa"/>
          </w:tcPr>
          <w:p w14:paraId="4C901664" w14:textId="1A79E709"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F520BD">
              <w:t>26%</w:t>
            </w:r>
          </w:p>
        </w:tc>
      </w:tr>
      <w:tr w:rsidR="000C0D15" w:rsidRPr="0089011E" w14:paraId="0F95E442" w14:textId="4EB7D1B2" w:rsidTr="00DD45F9">
        <w:tc>
          <w:tcPr>
            <w:cnfStyle w:val="001000000000" w:firstRow="0" w:lastRow="0" w:firstColumn="1" w:lastColumn="0" w:oddVBand="0" w:evenVBand="0" w:oddHBand="0" w:evenHBand="0" w:firstRowFirstColumn="0" w:firstRowLastColumn="0" w:lastRowFirstColumn="0" w:lastRowLastColumn="0"/>
            <w:tcW w:w="617" w:type="dxa"/>
            <w:vAlign w:val="bottom"/>
          </w:tcPr>
          <w:p w14:paraId="0159F05A" w14:textId="77777777" w:rsidR="000C0D15" w:rsidRPr="00864899" w:rsidRDefault="000C0D15" w:rsidP="00656AF0">
            <w:pPr>
              <w:pStyle w:val="Table1"/>
            </w:pPr>
            <w:r w:rsidRPr="00864899">
              <w:t>2017</w:t>
            </w:r>
          </w:p>
        </w:tc>
        <w:tc>
          <w:tcPr>
            <w:tcW w:w="667" w:type="dxa"/>
          </w:tcPr>
          <w:p w14:paraId="726651DB"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5A5F425B"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6D6131AF"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44BBF432"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7993F21C"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3BBC151B"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39828D3E"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60715498"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76C73996"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53F91EAF"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171B0EB2"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040F8475"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0.004</w:t>
            </w:r>
          </w:p>
        </w:tc>
        <w:tc>
          <w:tcPr>
            <w:tcW w:w="843" w:type="dxa"/>
          </w:tcPr>
          <w:p w14:paraId="62591C0C"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0.007</w:t>
            </w:r>
          </w:p>
        </w:tc>
        <w:tc>
          <w:tcPr>
            <w:tcW w:w="776" w:type="dxa"/>
          </w:tcPr>
          <w:p w14:paraId="7CF46B8F" w14:textId="51A11531"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F520BD">
              <w:t>26%</w:t>
            </w:r>
          </w:p>
        </w:tc>
      </w:tr>
      <w:tr w:rsidR="000C0D15" w:rsidRPr="0089011E" w14:paraId="70399A77" w14:textId="47CF3B3E" w:rsidTr="00DD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04628109" w14:textId="77777777" w:rsidR="000C0D15" w:rsidRPr="00864899" w:rsidRDefault="000C0D15" w:rsidP="00656AF0">
            <w:pPr>
              <w:pStyle w:val="Table1"/>
            </w:pPr>
            <w:r w:rsidRPr="00864899">
              <w:t>2018</w:t>
            </w:r>
          </w:p>
        </w:tc>
        <w:tc>
          <w:tcPr>
            <w:tcW w:w="667" w:type="dxa"/>
          </w:tcPr>
          <w:p w14:paraId="51FCED91"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0.004</w:t>
            </w:r>
          </w:p>
        </w:tc>
        <w:tc>
          <w:tcPr>
            <w:tcW w:w="667" w:type="dxa"/>
          </w:tcPr>
          <w:p w14:paraId="6F32AF76"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4B5BFEAC"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2345E474"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0.002</w:t>
            </w:r>
          </w:p>
        </w:tc>
        <w:tc>
          <w:tcPr>
            <w:tcW w:w="667" w:type="dxa"/>
          </w:tcPr>
          <w:p w14:paraId="4B59F30F"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0.001</w:t>
            </w:r>
          </w:p>
        </w:tc>
        <w:tc>
          <w:tcPr>
            <w:tcW w:w="667" w:type="dxa"/>
          </w:tcPr>
          <w:p w14:paraId="54CE53C6"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0.005</w:t>
            </w:r>
          </w:p>
        </w:tc>
        <w:tc>
          <w:tcPr>
            <w:tcW w:w="667" w:type="dxa"/>
          </w:tcPr>
          <w:p w14:paraId="0A70BE28"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0.003</w:t>
            </w:r>
          </w:p>
        </w:tc>
        <w:tc>
          <w:tcPr>
            <w:tcW w:w="667" w:type="dxa"/>
          </w:tcPr>
          <w:p w14:paraId="223BB53D"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67A49B2E"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30E2327E"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70B7CC22"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561F35AD"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0.001</w:t>
            </w:r>
          </w:p>
        </w:tc>
        <w:tc>
          <w:tcPr>
            <w:tcW w:w="843" w:type="dxa"/>
          </w:tcPr>
          <w:p w14:paraId="065B1B79"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0.016</w:t>
            </w:r>
          </w:p>
        </w:tc>
        <w:tc>
          <w:tcPr>
            <w:tcW w:w="776" w:type="dxa"/>
          </w:tcPr>
          <w:p w14:paraId="7420A1BF" w14:textId="2BB6D93C"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F520BD">
              <w:t>25%</w:t>
            </w:r>
          </w:p>
        </w:tc>
      </w:tr>
      <w:tr w:rsidR="000C0D15" w:rsidRPr="0089011E" w14:paraId="404F4C2B" w14:textId="22EA0FA1" w:rsidTr="00DD45F9">
        <w:tc>
          <w:tcPr>
            <w:cnfStyle w:val="001000000000" w:firstRow="0" w:lastRow="0" w:firstColumn="1" w:lastColumn="0" w:oddVBand="0" w:evenVBand="0" w:oddHBand="0" w:evenHBand="0" w:firstRowFirstColumn="0" w:firstRowLastColumn="0" w:lastRowFirstColumn="0" w:lastRowLastColumn="0"/>
            <w:tcW w:w="617" w:type="dxa"/>
            <w:vAlign w:val="bottom"/>
          </w:tcPr>
          <w:p w14:paraId="6CE7B932" w14:textId="77777777" w:rsidR="000C0D15" w:rsidRPr="00864899" w:rsidRDefault="000C0D15" w:rsidP="00656AF0">
            <w:pPr>
              <w:pStyle w:val="Table1"/>
            </w:pPr>
            <w:r w:rsidRPr="00864899">
              <w:lastRenderedPageBreak/>
              <w:t>2019</w:t>
            </w:r>
          </w:p>
        </w:tc>
        <w:tc>
          <w:tcPr>
            <w:tcW w:w="667" w:type="dxa"/>
          </w:tcPr>
          <w:p w14:paraId="10B897A5"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0.003</w:t>
            </w:r>
          </w:p>
        </w:tc>
        <w:tc>
          <w:tcPr>
            <w:tcW w:w="667" w:type="dxa"/>
          </w:tcPr>
          <w:p w14:paraId="149E5EC0"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5E5EAB4D"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70DE9A1D"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26CB2F04"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0.002</w:t>
            </w:r>
          </w:p>
        </w:tc>
        <w:tc>
          <w:tcPr>
            <w:tcW w:w="667" w:type="dxa"/>
          </w:tcPr>
          <w:p w14:paraId="5BD77642"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0.003</w:t>
            </w:r>
          </w:p>
        </w:tc>
        <w:tc>
          <w:tcPr>
            <w:tcW w:w="667" w:type="dxa"/>
          </w:tcPr>
          <w:p w14:paraId="73E09897"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0A4AD82A"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745367BF"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3EBFF5D6"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6546D880"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69EC8475"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0.011</w:t>
            </w:r>
          </w:p>
        </w:tc>
        <w:tc>
          <w:tcPr>
            <w:tcW w:w="843" w:type="dxa"/>
          </w:tcPr>
          <w:p w14:paraId="31A2742A"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0.021</w:t>
            </w:r>
          </w:p>
        </w:tc>
        <w:tc>
          <w:tcPr>
            <w:tcW w:w="776" w:type="dxa"/>
          </w:tcPr>
          <w:p w14:paraId="0866550E" w14:textId="20B8A3DF"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F520BD">
              <w:t>25%</w:t>
            </w:r>
          </w:p>
        </w:tc>
      </w:tr>
      <w:tr w:rsidR="000C0D15" w:rsidRPr="0089011E" w14:paraId="308BC03E" w14:textId="58D9AB16" w:rsidTr="00DD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3D29F074" w14:textId="77777777" w:rsidR="000C0D15" w:rsidRPr="00864899" w:rsidRDefault="000C0D15" w:rsidP="00656AF0">
            <w:pPr>
              <w:pStyle w:val="Table1"/>
            </w:pPr>
            <w:r w:rsidRPr="00864899">
              <w:t>2020</w:t>
            </w:r>
          </w:p>
        </w:tc>
        <w:tc>
          <w:tcPr>
            <w:tcW w:w="667" w:type="dxa"/>
          </w:tcPr>
          <w:p w14:paraId="0CFA5C06"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0.002</w:t>
            </w:r>
          </w:p>
        </w:tc>
        <w:tc>
          <w:tcPr>
            <w:tcW w:w="667" w:type="dxa"/>
          </w:tcPr>
          <w:p w14:paraId="7BA90966"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40CFB450"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0.002</w:t>
            </w:r>
          </w:p>
        </w:tc>
        <w:tc>
          <w:tcPr>
            <w:tcW w:w="667" w:type="dxa"/>
          </w:tcPr>
          <w:p w14:paraId="7B454204"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0.003</w:t>
            </w:r>
          </w:p>
        </w:tc>
        <w:tc>
          <w:tcPr>
            <w:tcW w:w="667" w:type="dxa"/>
          </w:tcPr>
          <w:p w14:paraId="2B02954E"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0.002</w:t>
            </w:r>
          </w:p>
        </w:tc>
        <w:tc>
          <w:tcPr>
            <w:tcW w:w="667" w:type="dxa"/>
          </w:tcPr>
          <w:p w14:paraId="1D26A2EF"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0.012</w:t>
            </w:r>
          </w:p>
        </w:tc>
        <w:tc>
          <w:tcPr>
            <w:tcW w:w="667" w:type="dxa"/>
          </w:tcPr>
          <w:p w14:paraId="6E457D3E"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0.004</w:t>
            </w:r>
          </w:p>
        </w:tc>
        <w:tc>
          <w:tcPr>
            <w:tcW w:w="667" w:type="dxa"/>
          </w:tcPr>
          <w:p w14:paraId="7AE2AC3B"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64F6453F"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56CB7ECB"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57CC03B7"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48B778BE"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0.012</w:t>
            </w:r>
          </w:p>
        </w:tc>
        <w:tc>
          <w:tcPr>
            <w:tcW w:w="843" w:type="dxa"/>
          </w:tcPr>
          <w:p w14:paraId="419FF521"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0.037</w:t>
            </w:r>
          </w:p>
        </w:tc>
        <w:tc>
          <w:tcPr>
            <w:tcW w:w="776" w:type="dxa"/>
          </w:tcPr>
          <w:p w14:paraId="31856341" w14:textId="66736A04"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F520BD">
              <w:t>24%</w:t>
            </w:r>
          </w:p>
        </w:tc>
      </w:tr>
      <w:tr w:rsidR="000C0D15" w:rsidRPr="0089011E" w14:paraId="47FFF676" w14:textId="653D7C8B" w:rsidTr="00DD45F9">
        <w:tc>
          <w:tcPr>
            <w:cnfStyle w:val="001000000000" w:firstRow="0" w:lastRow="0" w:firstColumn="1" w:lastColumn="0" w:oddVBand="0" w:evenVBand="0" w:oddHBand="0" w:evenHBand="0" w:firstRowFirstColumn="0" w:firstRowLastColumn="0" w:lastRowFirstColumn="0" w:lastRowLastColumn="0"/>
            <w:tcW w:w="617" w:type="dxa"/>
            <w:vAlign w:val="bottom"/>
          </w:tcPr>
          <w:p w14:paraId="7C5AC869" w14:textId="77777777" w:rsidR="000C0D15" w:rsidRPr="00864899" w:rsidRDefault="000C0D15" w:rsidP="00656AF0">
            <w:pPr>
              <w:pStyle w:val="Table1"/>
            </w:pPr>
            <w:r w:rsidRPr="00864899">
              <w:t>2025</w:t>
            </w:r>
          </w:p>
        </w:tc>
        <w:tc>
          <w:tcPr>
            <w:tcW w:w="667" w:type="dxa"/>
          </w:tcPr>
          <w:p w14:paraId="41C765B2"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199539C1"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7076C6E0"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17B87F35"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1BF4C33D"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0.004</w:t>
            </w:r>
          </w:p>
        </w:tc>
        <w:tc>
          <w:tcPr>
            <w:tcW w:w="667" w:type="dxa"/>
          </w:tcPr>
          <w:p w14:paraId="17F2AA5E"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0.016</w:t>
            </w:r>
          </w:p>
        </w:tc>
        <w:tc>
          <w:tcPr>
            <w:tcW w:w="667" w:type="dxa"/>
          </w:tcPr>
          <w:p w14:paraId="537E9C42"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0.008</w:t>
            </w:r>
          </w:p>
        </w:tc>
        <w:tc>
          <w:tcPr>
            <w:tcW w:w="667" w:type="dxa"/>
          </w:tcPr>
          <w:p w14:paraId="3B3D6E16"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3EB5213A"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45C882BD"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384C703E"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677ABD5B"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0.020</w:t>
            </w:r>
          </w:p>
        </w:tc>
        <w:tc>
          <w:tcPr>
            <w:tcW w:w="843" w:type="dxa"/>
          </w:tcPr>
          <w:p w14:paraId="6ABF4D28"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0.052</w:t>
            </w:r>
          </w:p>
        </w:tc>
        <w:tc>
          <w:tcPr>
            <w:tcW w:w="776" w:type="dxa"/>
          </w:tcPr>
          <w:p w14:paraId="02DFC8BA" w14:textId="74B70AA5"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F520BD">
              <w:t>23%</w:t>
            </w:r>
          </w:p>
        </w:tc>
      </w:tr>
      <w:tr w:rsidR="000C0D15" w:rsidRPr="0089011E" w14:paraId="0D83897F" w14:textId="5E242E15" w:rsidTr="00DD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419EDB2B" w14:textId="77777777" w:rsidR="000C0D15" w:rsidRPr="00864899" w:rsidRDefault="000C0D15" w:rsidP="00656AF0">
            <w:pPr>
              <w:pStyle w:val="Table1"/>
            </w:pPr>
            <w:r w:rsidRPr="00864899">
              <w:t>2030</w:t>
            </w:r>
          </w:p>
        </w:tc>
        <w:tc>
          <w:tcPr>
            <w:tcW w:w="667" w:type="dxa"/>
          </w:tcPr>
          <w:p w14:paraId="064AD359"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7F9A9ED2"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4E3FECCB"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056BF6B9"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19E4DBEB"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7BD58F7F"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0.019</w:t>
            </w:r>
          </w:p>
        </w:tc>
        <w:tc>
          <w:tcPr>
            <w:tcW w:w="667" w:type="dxa"/>
          </w:tcPr>
          <w:p w14:paraId="4AEF0621"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0.004</w:t>
            </w:r>
          </w:p>
        </w:tc>
        <w:tc>
          <w:tcPr>
            <w:tcW w:w="667" w:type="dxa"/>
          </w:tcPr>
          <w:p w14:paraId="4ECAF7BB"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5B8E8F4F"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071CA364"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70B4F710"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0.001</w:t>
            </w:r>
          </w:p>
        </w:tc>
        <w:tc>
          <w:tcPr>
            <w:tcW w:w="667" w:type="dxa"/>
          </w:tcPr>
          <w:p w14:paraId="69770271"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0.020</w:t>
            </w:r>
          </w:p>
        </w:tc>
        <w:tc>
          <w:tcPr>
            <w:tcW w:w="843" w:type="dxa"/>
          </w:tcPr>
          <w:p w14:paraId="15A59CF8" w14:textId="77777777"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864899">
              <w:t>0.044</w:t>
            </w:r>
          </w:p>
        </w:tc>
        <w:tc>
          <w:tcPr>
            <w:tcW w:w="776" w:type="dxa"/>
          </w:tcPr>
          <w:p w14:paraId="2D08C369" w14:textId="2D204B10" w:rsidR="000C0D15" w:rsidRPr="00864899" w:rsidRDefault="000C0D15" w:rsidP="00656AF0">
            <w:pPr>
              <w:pStyle w:val="Table1"/>
              <w:cnfStyle w:val="000000100000" w:firstRow="0" w:lastRow="0" w:firstColumn="0" w:lastColumn="0" w:oddVBand="0" w:evenVBand="0" w:oddHBand="1" w:evenHBand="0" w:firstRowFirstColumn="0" w:firstRowLastColumn="0" w:lastRowFirstColumn="0" w:lastRowLastColumn="0"/>
            </w:pPr>
            <w:r w:rsidRPr="00F520BD">
              <w:t>22%</w:t>
            </w:r>
          </w:p>
        </w:tc>
      </w:tr>
      <w:tr w:rsidR="000C0D15" w:rsidRPr="0089011E" w14:paraId="359C00FA" w14:textId="443D4D37" w:rsidTr="00DD45F9">
        <w:tc>
          <w:tcPr>
            <w:cnfStyle w:val="001000000000" w:firstRow="0" w:lastRow="0" w:firstColumn="1" w:lastColumn="0" w:oddVBand="0" w:evenVBand="0" w:oddHBand="0" w:evenHBand="0" w:firstRowFirstColumn="0" w:firstRowLastColumn="0" w:lastRowFirstColumn="0" w:lastRowLastColumn="0"/>
            <w:tcW w:w="617" w:type="dxa"/>
            <w:vAlign w:val="bottom"/>
          </w:tcPr>
          <w:p w14:paraId="0A3E97D8" w14:textId="77777777" w:rsidR="000C0D15" w:rsidRPr="00864899" w:rsidRDefault="000C0D15" w:rsidP="00656AF0">
            <w:pPr>
              <w:pStyle w:val="Table1"/>
            </w:pPr>
            <w:r w:rsidRPr="00864899">
              <w:t>2033</w:t>
            </w:r>
          </w:p>
        </w:tc>
        <w:tc>
          <w:tcPr>
            <w:tcW w:w="667" w:type="dxa"/>
          </w:tcPr>
          <w:p w14:paraId="1E53F09E"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0.011</w:t>
            </w:r>
          </w:p>
        </w:tc>
        <w:tc>
          <w:tcPr>
            <w:tcW w:w="667" w:type="dxa"/>
          </w:tcPr>
          <w:p w14:paraId="1542AB40"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0.002</w:t>
            </w:r>
          </w:p>
        </w:tc>
        <w:tc>
          <w:tcPr>
            <w:tcW w:w="667" w:type="dxa"/>
          </w:tcPr>
          <w:p w14:paraId="43FF4643"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0.002</w:t>
            </w:r>
          </w:p>
        </w:tc>
        <w:tc>
          <w:tcPr>
            <w:tcW w:w="667" w:type="dxa"/>
          </w:tcPr>
          <w:p w14:paraId="3337575A"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6D1ED775"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0.004</w:t>
            </w:r>
          </w:p>
        </w:tc>
        <w:tc>
          <w:tcPr>
            <w:tcW w:w="667" w:type="dxa"/>
          </w:tcPr>
          <w:p w14:paraId="533C9372"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0.015</w:t>
            </w:r>
          </w:p>
        </w:tc>
        <w:tc>
          <w:tcPr>
            <w:tcW w:w="667" w:type="dxa"/>
          </w:tcPr>
          <w:p w14:paraId="55F164A3"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0.008</w:t>
            </w:r>
          </w:p>
        </w:tc>
        <w:tc>
          <w:tcPr>
            <w:tcW w:w="667" w:type="dxa"/>
          </w:tcPr>
          <w:p w14:paraId="28AEB475"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514DADEA"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2C15D9CD"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5D51679C"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0.002</w:t>
            </w:r>
          </w:p>
        </w:tc>
        <w:tc>
          <w:tcPr>
            <w:tcW w:w="667" w:type="dxa"/>
          </w:tcPr>
          <w:p w14:paraId="1700B938"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0.034</w:t>
            </w:r>
          </w:p>
        </w:tc>
        <w:tc>
          <w:tcPr>
            <w:tcW w:w="843" w:type="dxa"/>
          </w:tcPr>
          <w:p w14:paraId="11CE6241" w14:textId="77777777"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864899">
              <w:t>0.078</w:t>
            </w:r>
          </w:p>
        </w:tc>
        <w:tc>
          <w:tcPr>
            <w:tcW w:w="776" w:type="dxa"/>
          </w:tcPr>
          <w:p w14:paraId="7EC8080D" w14:textId="4AEC66AD" w:rsidR="000C0D15" w:rsidRPr="00864899" w:rsidRDefault="000C0D15" w:rsidP="00656AF0">
            <w:pPr>
              <w:pStyle w:val="Table1"/>
              <w:cnfStyle w:val="000000000000" w:firstRow="0" w:lastRow="0" w:firstColumn="0" w:lastColumn="0" w:oddVBand="0" w:evenVBand="0" w:oddHBand="0" w:evenHBand="0" w:firstRowFirstColumn="0" w:firstRowLastColumn="0" w:lastRowFirstColumn="0" w:lastRowLastColumn="0"/>
            </w:pPr>
            <w:r w:rsidRPr="00F520BD">
              <w:t>21%</w:t>
            </w:r>
          </w:p>
        </w:tc>
      </w:tr>
    </w:tbl>
    <w:p w14:paraId="3CDE347D" w14:textId="77777777" w:rsidR="00EF1D77" w:rsidRPr="0019423F" w:rsidRDefault="00EF1D77" w:rsidP="00EF1D77">
      <w:pPr>
        <w:pStyle w:val="Heading7"/>
      </w:pPr>
      <w:bookmarkStart w:id="57" w:name="_Ref383165167"/>
      <w:bookmarkStart w:id="58" w:name="_Ref355860485"/>
      <w:r>
        <w:t>Case 2.  Self-Generating Industrial Customer L</w:t>
      </w:r>
      <w:r w:rsidRPr="0019423F">
        <w:t>oad of 40MW</w:t>
      </w:r>
      <w:bookmarkEnd w:id="57"/>
      <w:bookmarkEnd w:id="58"/>
    </w:p>
    <w:p w14:paraId="339065B2" w14:textId="7FB357AC" w:rsidR="00EF1D77" w:rsidRDefault="00EF1D77" w:rsidP="00EF1D77">
      <w:pPr>
        <w:rPr>
          <w:lang w:val="en-US"/>
        </w:rPr>
      </w:pPr>
      <w:r>
        <w:rPr>
          <w:lang w:val="en-US"/>
        </w:rPr>
        <w:t xml:space="preserve">The base case excludes self-generating load from industrial customers. This load sensitivity case handles the situation in which self-generating load, assumed at 40 MW, is added to the current peak forecast and </w:t>
      </w:r>
      <w:r w:rsidR="00DD45F9">
        <w:rPr>
          <w:lang w:val="en-US"/>
        </w:rPr>
        <w:t xml:space="preserve">is </w:t>
      </w:r>
      <w:r>
        <w:rPr>
          <w:lang w:val="en-US"/>
        </w:rPr>
        <w:t xml:space="preserve">to be met by resources in the base case. On a planning basis, the expected capacity gaps </w:t>
      </w:r>
      <w:r w:rsidR="00DD45F9">
        <w:rPr>
          <w:lang w:val="en-US"/>
        </w:rPr>
        <w:t xml:space="preserve">will increase </w:t>
      </w:r>
      <w:r>
        <w:rPr>
          <w:lang w:val="en-US"/>
        </w:rPr>
        <w:t>in some months</w:t>
      </w:r>
      <w:r w:rsidR="00DD45F9">
        <w:rPr>
          <w:lang w:val="en-US"/>
        </w:rPr>
        <w:t>.</w:t>
      </w:r>
      <w:r>
        <w:rPr>
          <w:lang w:val="en-US"/>
        </w:rPr>
        <w:t xml:space="preserve"> </w:t>
      </w:r>
      <w:r w:rsidR="00DD45F9">
        <w:rPr>
          <w:lang w:val="en-US"/>
        </w:rPr>
        <w:t>This</w:t>
      </w:r>
      <w:r>
        <w:rPr>
          <w:lang w:val="en-US"/>
        </w:rPr>
        <w:t xml:space="preserve"> result</w:t>
      </w:r>
      <w:r w:rsidR="00DD45F9">
        <w:rPr>
          <w:lang w:val="en-US"/>
        </w:rPr>
        <w:t>s</w:t>
      </w:r>
      <w:r>
        <w:rPr>
          <w:lang w:val="en-US"/>
        </w:rPr>
        <w:t xml:space="preserve"> in additional capacity to acquire in advance to meet the increased capacity gaps. Similar to Case 1</w:t>
      </w:r>
      <w:r w:rsidR="00DD45F9">
        <w:rPr>
          <w:lang w:val="en-US"/>
        </w:rPr>
        <w:t>,</w:t>
      </w:r>
      <w:r>
        <w:rPr>
          <w:lang w:val="en-US"/>
        </w:rPr>
        <w:t xml:space="preserve"> more load is subject to an assumed generation FOR of 5%</w:t>
      </w:r>
      <w:r w:rsidR="00DD45F9">
        <w:rPr>
          <w:lang w:val="en-US"/>
        </w:rPr>
        <w:t>.</w:t>
      </w:r>
      <w:r>
        <w:rPr>
          <w:lang w:val="en-US"/>
        </w:rPr>
        <w:t xml:space="preserve"> </w:t>
      </w:r>
      <w:r w:rsidR="00DD45F9">
        <w:rPr>
          <w:lang w:val="en-US"/>
        </w:rPr>
        <w:t>T</w:t>
      </w:r>
      <w:r>
        <w:rPr>
          <w:lang w:val="en-US"/>
        </w:rPr>
        <w:t>he system c</w:t>
      </w:r>
      <w:r w:rsidR="00DD45F9">
        <w:rPr>
          <w:lang w:val="en-US"/>
        </w:rPr>
        <w:t>an</w:t>
      </w:r>
      <w:r>
        <w:rPr>
          <w:lang w:val="en-US"/>
        </w:rPr>
        <w:t xml:space="preserve"> still handle this </w:t>
      </w:r>
      <w:r w:rsidR="00DD45F9">
        <w:rPr>
          <w:lang w:val="en-US"/>
        </w:rPr>
        <w:t xml:space="preserve">additional </w:t>
      </w:r>
      <w:r>
        <w:rPr>
          <w:lang w:val="en-US"/>
        </w:rPr>
        <w:t>peak capacity load with LOLEs meeting the target.</w:t>
      </w:r>
    </w:p>
    <w:p w14:paraId="459A1FAD" w14:textId="77777777" w:rsidR="00EF1D77" w:rsidRDefault="00EF1D77" w:rsidP="00EF1D77">
      <w:pPr>
        <w:pStyle w:val="TableHeading"/>
      </w:pPr>
      <w:bookmarkStart w:id="59" w:name="_Toc421190632"/>
      <w:r>
        <w:t>Table 3-4:  LOLE in Case 2 – Self-generating Industrial Customer Load</w:t>
      </w:r>
      <w:bookmarkEnd w:id="59"/>
    </w:p>
    <w:tbl>
      <w:tblPr>
        <w:tblStyle w:val="LightList-Accent11"/>
        <w:tblW w:w="10314" w:type="dxa"/>
        <w:tblLook w:val="04A0" w:firstRow="1" w:lastRow="0" w:firstColumn="1" w:lastColumn="0" w:noHBand="0" w:noVBand="1"/>
      </w:tblPr>
      <w:tblGrid>
        <w:gridCol w:w="617"/>
        <w:gridCol w:w="667"/>
        <w:gridCol w:w="667"/>
        <w:gridCol w:w="667"/>
        <w:gridCol w:w="667"/>
        <w:gridCol w:w="667"/>
        <w:gridCol w:w="667"/>
        <w:gridCol w:w="667"/>
        <w:gridCol w:w="667"/>
        <w:gridCol w:w="667"/>
        <w:gridCol w:w="667"/>
        <w:gridCol w:w="667"/>
        <w:gridCol w:w="667"/>
        <w:gridCol w:w="826"/>
        <w:gridCol w:w="867"/>
      </w:tblGrid>
      <w:tr w:rsidR="000C0D15" w:rsidRPr="00E24C3D" w14:paraId="228F4FF5" w14:textId="5193F247" w:rsidTr="00DD45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17" w:type="dxa"/>
            <w:vAlign w:val="bottom"/>
          </w:tcPr>
          <w:p w14:paraId="44BE0AA9" w14:textId="77777777" w:rsidR="000C0D15" w:rsidRPr="00E24C3D" w:rsidRDefault="000C0D15" w:rsidP="00656AF0">
            <w:pPr>
              <w:pStyle w:val="Table1"/>
            </w:pPr>
            <w:r w:rsidRPr="00E24C3D">
              <w:t>Year</w:t>
            </w:r>
          </w:p>
        </w:tc>
        <w:tc>
          <w:tcPr>
            <w:tcW w:w="667" w:type="dxa"/>
            <w:vAlign w:val="bottom"/>
          </w:tcPr>
          <w:p w14:paraId="49ABD4EE" w14:textId="77777777" w:rsidR="000C0D15" w:rsidRPr="00E24C3D" w:rsidRDefault="000C0D15" w:rsidP="00656AF0">
            <w:pPr>
              <w:pStyle w:val="Table1"/>
              <w:cnfStyle w:val="100000000000" w:firstRow="1" w:lastRow="0" w:firstColumn="0" w:lastColumn="0" w:oddVBand="0" w:evenVBand="0" w:oddHBand="0" w:evenHBand="0" w:firstRowFirstColumn="0" w:firstRowLastColumn="0" w:lastRowFirstColumn="0" w:lastRowLastColumn="0"/>
            </w:pPr>
            <w:r w:rsidRPr="00E24C3D">
              <w:t>Jan</w:t>
            </w:r>
          </w:p>
        </w:tc>
        <w:tc>
          <w:tcPr>
            <w:tcW w:w="667" w:type="dxa"/>
            <w:vAlign w:val="bottom"/>
          </w:tcPr>
          <w:p w14:paraId="601478A3" w14:textId="77777777" w:rsidR="000C0D15" w:rsidRPr="00E24C3D" w:rsidRDefault="000C0D15" w:rsidP="00656AF0">
            <w:pPr>
              <w:pStyle w:val="Table1"/>
              <w:cnfStyle w:val="100000000000" w:firstRow="1" w:lastRow="0" w:firstColumn="0" w:lastColumn="0" w:oddVBand="0" w:evenVBand="0" w:oddHBand="0" w:evenHBand="0" w:firstRowFirstColumn="0" w:firstRowLastColumn="0" w:lastRowFirstColumn="0" w:lastRowLastColumn="0"/>
            </w:pPr>
            <w:r w:rsidRPr="00E24C3D">
              <w:t>Feb</w:t>
            </w:r>
          </w:p>
        </w:tc>
        <w:tc>
          <w:tcPr>
            <w:tcW w:w="667" w:type="dxa"/>
            <w:vAlign w:val="bottom"/>
          </w:tcPr>
          <w:p w14:paraId="0C64FEAD" w14:textId="77777777" w:rsidR="000C0D15" w:rsidRPr="00E24C3D" w:rsidRDefault="000C0D15" w:rsidP="00656AF0">
            <w:pPr>
              <w:pStyle w:val="Table1"/>
              <w:cnfStyle w:val="100000000000" w:firstRow="1" w:lastRow="0" w:firstColumn="0" w:lastColumn="0" w:oddVBand="0" w:evenVBand="0" w:oddHBand="0" w:evenHBand="0" w:firstRowFirstColumn="0" w:firstRowLastColumn="0" w:lastRowFirstColumn="0" w:lastRowLastColumn="0"/>
            </w:pPr>
            <w:r w:rsidRPr="00E24C3D">
              <w:t>Mar</w:t>
            </w:r>
          </w:p>
        </w:tc>
        <w:tc>
          <w:tcPr>
            <w:tcW w:w="667" w:type="dxa"/>
            <w:vAlign w:val="bottom"/>
          </w:tcPr>
          <w:p w14:paraId="198AF72F" w14:textId="77777777" w:rsidR="000C0D15" w:rsidRPr="00E24C3D" w:rsidRDefault="000C0D15" w:rsidP="00656AF0">
            <w:pPr>
              <w:pStyle w:val="Table1"/>
              <w:cnfStyle w:val="100000000000" w:firstRow="1" w:lastRow="0" w:firstColumn="0" w:lastColumn="0" w:oddVBand="0" w:evenVBand="0" w:oddHBand="0" w:evenHBand="0" w:firstRowFirstColumn="0" w:firstRowLastColumn="0" w:lastRowFirstColumn="0" w:lastRowLastColumn="0"/>
            </w:pPr>
            <w:r w:rsidRPr="00E24C3D">
              <w:t>Apr</w:t>
            </w:r>
          </w:p>
        </w:tc>
        <w:tc>
          <w:tcPr>
            <w:tcW w:w="667" w:type="dxa"/>
            <w:vAlign w:val="bottom"/>
          </w:tcPr>
          <w:p w14:paraId="033992BB" w14:textId="77777777" w:rsidR="000C0D15" w:rsidRPr="00E24C3D" w:rsidRDefault="000C0D15" w:rsidP="00656AF0">
            <w:pPr>
              <w:pStyle w:val="Table1"/>
              <w:cnfStyle w:val="100000000000" w:firstRow="1" w:lastRow="0" w:firstColumn="0" w:lastColumn="0" w:oddVBand="0" w:evenVBand="0" w:oddHBand="0" w:evenHBand="0" w:firstRowFirstColumn="0" w:firstRowLastColumn="0" w:lastRowFirstColumn="0" w:lastRowLastColumn="0"/>
            </w:pPr>
            <w:r w:rsidRPr="00E24C3D">
              <w:t>May</w:t>
            </w:r>
          </w:p>
        </w:tc>
        <w:tc>
          <w:tcPr>
            <w:tcW w:w="667" w:type="dxa"/>
            <w:vAlign w:val="bottom"/>
          </w:tcPr>
          <w:p w14:paraId="52BEBC71" w14:textId="77777777" w:rsidR="000C0D15" w:rsidRPr="00E24C3D" w:rsidRDefault="000C0D15" w:rsidP="00656AF0">
            <w:pPr>
              <w:pStyle w:val="Table1"/>
              <w:cnfStyle w:val="100000000000" w:firstRow="1" w:lastRow="0" w:firstColumn="0" w:lastColumn="0" w:oddVBand="0" w:evenVBand="0" w:oddHBand="0" w:evenHBand="0" w:firstRowFirstColumn="0" w:firstRowLastColumn="0" w:lastRowFirstColumn="0" w:lastRowLastColumn="0"/>
            </w:pPr>
            <w:r w:rsidRPr="00E24C3D">
              <w:t>Jun</w:t>
            </w:r>
          </w:p>
        </w:tc>
        <w:tc>
          <w:tcPr>
            <w:tcW w:w="667" w:type="dxa"/>
            <w:vAlign w:val="bottom"/>
          </w:tcPr>
          <w:p w14:paraId="7A5010D8" w14:textId="77777777" w:rsidR="000C0D15" w:rsidRPr="00E24C3D" w:rsidRDefault="000C0D15" w:rsidP="00656AF0">
            <w:pPr>
              <w:pStyle w:val="Table1"/>
              <w:cnfStyle w:val="100000000000" w:firstRow="1" w:lastRow="0" w:firstColumn="0" w:lastColumn="0" w:oddVBand="0" w:evenVBand="0" w:oddHBand="0" w:evenHBand="0" w:firstRowFirstColumn="0" w:firstRowLastColumn="0" w:lastRowFirstColumn="0" w:lastRowLastColumn="0"/>
            </w:pPr>
            <w:r w:rsidRPr="00E24C3D">
              <w:t>Jul</w:t>
            </w:r>
          </w:p>
        </w:tc>
        <w:tc>
          <w:tcPr>
            <w:tcW w:w="667" w:type="dxa"/>
            <w:vAlign w:val="bottom"/>
          </w:tcPr>
          <w:p w14:paraId="6CA31E7C" w14:textId="77777777" w:rsidR="000C0D15" w:rsidRPr="00E24C3D" w:rsidRDefault="000C0D15" w:rsidP="00656AF0">
            <w:pPr>
              <w:pStyle w:val="Table1"/>
              <w:cnfStyle w:val="100000000000" w:firstRow="1" w:lastRow="0" w:firstColumn="0" w:lastColumn="0" w:oddVBand="0" w:evenVBand="0" w:oddHBand="0" w:evenHBand="0" w:firstRowFirstColumn="0" w:firstRowLastColumn="0" w:lastRowFirstColumn="0" w:lastRowLastColumn="0"/>
            </w:pPr>
            <w:r w:rsidRPr="00E24C3D">
              <w:t>Aug</w:t>
            </w:r>
          </w:p>
        </w:tc>
        <w:tc>
          <w:tcPr>
            <w:tcW w:w="667" w:type="dxa"/>
            <w:vAlign w:val="bottom"/>
          </w:tcPr>
          <w:p w14:paraId="48D56A2A" w14:textId="77777777" w:rsidR="000C0D15" w:rsidRPr="00E24C3D" w:rsidRDefault="000C0D15" w:rsidP="00656AF0">
            <w:pPr>
              <w:pStyle w:val="Table1"/>
              <w:cnfStyle w:val="100000000000" w:firstRow="1" w:lastRow="0" w:firstColumn="0" w:lastColumn="0" w:oddVBand="0" w:evenVBand="0" w:oddHBand="0" w:evenHBand="0" w:firstRowFirstColumn="0" w:firstRowLastColumn="0" w:lastRowFirstColumn="0" w:lastRowLastColumn="0"/>
            </w:pPr>
            <w:r w:rsidRPr="00E24C3D">
              <w:t>Sep</w:t>
            </w:r>
          </w:p>
        </w:tc>
        <w:tc>
          <w:tcPr>
            <w:tcW w:w="667" w:type="dxa"/>
            <w:vAlign w:val="bottom"/>
          </w:tcPr>
          <w:p w14:paraId="3E56B57C" w14:textId="77777777" w:rsidR="000C0D15" w:rsidRPr="00E24C3D" w:rsidRDefault="000C0D15" w:rsidP="00656AF0">
            <w:pPr>
              <w:pStyle w:val="Table1"/>
              <w:cnfStyle w:val="100000000000" w:firstRow="1" w:lastRow="0" w:firstColumn="0" w:lastColumn="0" w:oddVBand="0" w:evenVBand="0" w:oddHBand="0" w:evenHBand="0" w:firstRowFirstColumn="0" w:firstRowLastColumn="0" w:lastRowFirstColumn="0" w:lastRowLastColumn="0"/>
            </w:pPr>
            <w:r w:rsidRPr="00E24C3D">
              <w:t>Oct</w:t>
            </w:r>
          </w:p>
        </w:tc>
        <w:tc>
          <w:tcPr>
            <w:tcW w:w="667" w:type="dxa"/>
            <w:vAlign w:val="bottom"/>
          </w:tcPr>
          <w:p w14:paraId="1F7D22ED" w14:textId="77777777" w:rsidR="000C0D15" w:rsidRPr="00E24C3D" w:rsidRDefault="000C0D15" w:rsidP="00656AF0">
            <w:pPr>
              <w:pStyle w:val="Table1"/>
              <w:cnfStyle w:val="100000000000" w:firstRow="1" w:lastRow="0" w:firstColumn="0" w:lastColumn="0" w:oddVBand="0" w:evenVBand="0" w:oddHBand="0" w:evenHBand="0" w:firstRowFirstColumn="0" w:firstRowLastColumn="0" w:lastRowFirstColumn="0" w:lastRowLastColumn="0"/>
            </w:pPr>
            <w:r w:rsidRPr="00E24C3D">
              <w:t>Nov</w:t>
            </w:r>
          </w:p>
        </w:tc>
        <w:tc>
          <w:tcPr>
            <w:tcW w:w="667" w:type="dxa"/>
            <w:vAlign w:val="bottom"/>
          </w:tcPr>
          <w:p w14:paraId="1EB19F83" w14:textId="77777777" w:rsidR="000C0D15" w:rsidRPr="00E24C3D" w:rsidRDefault="000C0D15" w:rsidP="00656AF0">
            <w:pPr>
              <w:pStyle w:val="Table1"/>
              <w:cnfStyle w:val="100000000000" w:firstRow="1" w:lastRow="0" w:firstColumn="0" w:lastColumn="0" w:oddVBand="0" w:evenVBand="0" w:oddHBand="0" w:evenHBand="0" w:firstRowFirstColumn="0" w:firstRowLastColumn="0" w:lastRowFirstColumn="0" w:lastRowLastColumn="0"/>
            </w:pPr>
            <w:r w:rsidRPr="00E24C3D">
              <w:t>Dec</w:t>
            </w:r>
          </w:p>
        </w:tc>
        <w:tc>
          <w:tcPr>
            <w:tcW w:w="826" w:type="dxa"/>
            <w:vAlign w:val="bottom"/>
          </w:tcPr>
          <w:p w14:paraId="1F412E06" w14:textId="77777777" w:rsidR="000C0D15" w:rsidRPr="00E24C3D" w:rsidRDefault="000C0D15" w:rsidP="00656AF0">
            <w:pPr>
              <w:pStyle w:val="Table1"/>
              <w:cnfStyle w:val="100000000000" w:firstRow="1" w:lastRow="0" w:firstColumn="0" w:lastColumn="0" w:oddVBand="0" w:evenVBand="0" w:oddHBand="0" w:evenHBand="0" w:firstRowFirstColumn="0" w:firstRowLastColumn="0" w:lastRowFirstColumn="0" w:lastRowLastColumn="0"/>
            </w:pPr>
            <w:r w:rsidRPr="00E24C3D">
              <w:t>Annual</w:t>
            </w:r>
          </w:p>
        </w:tc>
        <w:tc>
          <w:tcPr>
            <w:tcW w:w="867" w:type="dxa"/>
          </w:tcPr>
          <w:p w14:paraId="33C26FBA" w14:textId="76BADC92" w:rsidR="000C0D15" w:rsidRPr="00E24C3D" w:rsidRDefault="000C0D15" w:rsidP="00656AF0">
            <w:pPr>
              <w:pStyle w:val="Table1"/>
              <w:cnfStyle w:val="100000000000" w:firstRow="1" w:lastRow="0" w:firstColumn="0" w:lastColumn="0" w:oddVBand="0" w:evenVBand="0" w:oddHBand="0" w:evenHBand="0" w:firstRowFirstColumn="0" w:firstRowLastColumn="0" w:lastRowFirstColumn="0" w:lastRowLastColumn="0"/>
            </w:pPr>
            <w:r>
              <w:t>Winter PRM</w:t>
            </w:r>
          </w:p>
        </w:tc>
      </w:tr>
      <w:tr w:rsidR="00C226FE" w:rsidRPr="0089011E" w14:paraId="57C5A631" w14:textId="4544F58E" w:rsidTr="00DD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6EFB312F" w14:textId="704F7600" w:rsidR="00C226FE" w:rsidRPr="0089011E" w:rsidRDefault="00C226FE" w:rsidP="00656AF0">
            <w:pPr>
              <w:pStyle w:val="Table1"/>
            </w:pPr>
            <w:r w:rsidRPr="0089011E">
              <w:t>2014</w:t>
            </w:r>
          </w:p>
        </w:tc>
        <w:tc>
          <w:tcPr>
            <w:tcW w:w="667" w:type="dxa"/>
            <w:vAlign w:val="bottom"/>
          </w:tcPr>
          <w:p w14:paraId="359AC758" w14:textId="336EE3F9"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0.001</w:t>
            </w:r>
          </w:p>
        </w:tc>
        <w:tc>
          <w:tcPr>
            <w:tcW w:w="667" w:type="dxa"/>
            <w:vAlign w:val="bottom"/>
          </w:tcPr>
          <w:p w14:paraId="0DDE4AC5" w14:textId="402C989B"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0.000</w:t>
            </w:r>
          </w:p>
        </w:tc>
        <w:tc>
          <w:tcPr>
            <w:tcW w:w="667" w:type="dxa"/>
            <w:vAlign w:val="bottom"/>
          </w:tcPr>
          <w:p w14:paraId="23E72C34" w14:textId="09E74149"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0.003</w:t>
            </w:r>
          </w:p>
        </w:tc>
        <w:tc>
          <w:tcPr>
            <w:tcW w:w="667" w:type="dxa"/>
            <w:vAlign w:val="bottom"/>
          </w:tcPr>
          <w:p w14:paraId="7697890D" w14:textId="07C0523C"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0.002</w:t>
            </w:r>
          </w:p>
        </w:tc>
        <w:tc>
          <w:tcPr>
            <w:tcW w:w="667" w:type="dxa"/>
            <w:vAlign w:val="bottom"/>
          </w:tcPr>
          <w:p w14:paraId="2E71A079" w14:textId="781F6A8F"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0.002</w:t>
            </w:r>
          </w:p>
        </w:tc>
        <w:tc>
          <w:tcPr>
            <w:tcW w:w="667" w:type="dxa"/>
            <w:vAlign w:val="bottom"/>
          </w:tcPr>
          <w:p w14:paraId="58261966" w14:textId="6847FAF0"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0.001</w:t>
            </w:r>
          </w:p>
        </w:tc>
        <w:tc>
          <w:tcPr>
            <w:tcW w:w="667" w:type="dxa"/>
            <w:vAlign w:val="bottom"/>
          </w:tcPr>
          <w:p w14:paraId="48A936EB" w14:textId="2C72C74B"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0.006</w:t>
            </w:r>
          </w:p>
        </w:tc>
        <w:tc>
          <w:tcPr>
            <w:tcW w:w="667" w:type="dxa"/>
            <w:vAlign w:val="bottom"/>
          </w:tcPr>
          <w:p w14:paraId="1EACBF8C" w14:textId="4A54569F"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0.005</w:t>
            </w:r>
          </w:p>
        </w:tc>
        <w:tc>
          <w:tcPr>
            <w:tcW w:w="667" w:type="dxa"/>
            <w:vAlign w:val="bottom"/>
          </w:tcPr>
          <w:p w14:paraId="643D2018" w14:textId="32D484E0"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0.001</w:t>
            </w:r>
          </w:p>
        </w:tc>
        <w:tc>
          <w:tcPr>
            <w:tcW w:w="667" w:type="dxa"/>
            <w:vAlign w:val="bottom"/>
          </w:tcPr>
          <w:p w14:paraId="18052871" w14:textId="1DFA6702"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0.002</w:t>
            </w:r>
          </w:p>
        </w:tc>
        <w:tc>
          <w:tcPr>
            <w:tcW w:w="667" w:type="dxa"/>
            <w:vAlign w:val="bottom"/>
          </w:tcPr>
          <w:p w14:paraId="18ED23DC" w14:textId="2A4E8534"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0.000</w:t>
            </w:r>
          </w:p>
        </w:tc>
        <w:tc>
          <w:tcPr>
            <w:tcW w:w="667" w:type="dxa"/>
            <w:vAlign w:val="bottom"/>
          </w:tcPr>
          <w:p w14:paraId="5C857A39" w14:textId="2158EEB0"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0.002</w:t>
            </w:r>
          </w:p>
        </w:tc>
        <w:tc>
          <w:tcPr>
            <w:tcW w:w="826" w:type="dxa"/>
            <w:vAlign w:val="bottom"/>
          </w:tcPr>
          <w:p w14:paraId="07AECB9B" w14:textId="6BC9A4C2"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0.025</w:t>
            </w:r>
          </w:p>
        </w:tc>
        <w:tc>
          <w:tcPr>
            <w:tcW w:w="867" w:type="dxa"/>
            <w:vAlign w:val="bottom"/>
          </w:tcPr>
          <w:p w14:paraId="018D3144" w14:textId="4CD5DE87" w:rsidR="00C226FE" w:rsidRPr="0089011E" w:rsidDel="00451D23" w:rsidRDefault="00C226FE" w:rsidP="00656AF0">
            <w:pPr>
              <w:pStyle w:val="Table1"/>
              <w:cnfStyle w:val="000000100000" w:firstRow="0" w:lastRow="0" w:firstColumn="0" w:lastColumn="0" w:oddVBand="0" w:evenVBand="0" w:oddHBand="1" w:evenHBand="0" w:firstRowFirstColumn="0" w:firstRowLastColumn="0" w:lastRowFirstColumn="0" w:lastRowLastColumn="0"/>
            </w:pPr>
            <w:r>
              <w:rPr>
                <w:rFonts w:cs="Arial"/>
                <w:sz w:val="20"/>
                <w:szCs w:val="20"/>
              </w:rPr>
              <w:t>23%</w:t>
            </w:r>
          </w:p>
        </w:tc>
      </w:tr>
      <w:tr w:rsidR="00C226FE" w:rsidRPr="0089011E" w14:paraId="69A2E387" w14:textId="20A7A7AA" w:rsidTr="00DD45F9">
        <w:tc>
          <w:tcPr>
            <w:cnfStyle w:val="001000000000" w:firstRow="0" w:lastRow="0" w:firstColumn="1" w:lastColumn="0" w:oddVBand="0" w:evenVBand="0" w:oddHBand="0" w:evenHBand="0" w:firstRowFirstColumn="0" w:firstRowLastColumn="0" w:lastRowFirstColumn="0" w:lastRowLastColumn="0"/>
            <w:tcW w:w="617" w:type="dxa"/>
            <w:vAlign w:val="bottom"/>
          </w:tcPr>
          <w:p w14:paraId="54857812" w14:textId="77777777" w:rsidR="00C226FE" w:rsidRPr="0089011E" w:rsidRDefault="00C226FE" w:rsidP="00656AF0">
            <w:pPr>
              <w:pStyle w:val="Table1"/>
            </w:pPr>
            <w:r w:rsidRPr="0089011E">
              <w:t>2015</w:t>
            </w:r>
          </w:p>
        </w:tc>
        <w:tc>
          <w:tcPr>
            <w:tcW w:w="667" w:type="dxa"/>
            <w:vAlign w:val="bottom"/>
          </w:tcPr>
          <w:p w14:paraId="1F5C3550"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0.003</w:t>
            </w:r>
          </w:p>
        </w:tc>
        <w:tc>
          <w:tcPr>
            <w:tcW w:w="667" w:type="dxa"/>
            <w:vAlign w:val="bottom"/>
          </w:tcPr>
          <w:p w14:paraId="2F7611AF"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0.001</w:t>
            </w:r>
          </w:p>
        </w:tc>
        <w:tc>
          <w:tcPr>
            <w:tcW w:w="667" w:type="dxa"/>
            <w:vAlign w:val="bottom"/>
          </w:tcPr>
          <w:p w14:paraId="5F913552"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0.018</w:t>
            </w:r>
          </w:p>
        </w:tc>
        <w:tc>
          <w:tcPr>
            <w:tcW w:w="667" w:type="dxa"/>
            <w:vAlign w:val="bottom"/>
          </w:tcPr>
          <w:p w14:paraId="60B78751"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0.002</w:t>
            </w:r>
          </w:p>
        </w:tc>
        <w:tc>
          <w:tcPr>
            <w:tcW w:w="667" w:type="dxa"/>
            <w:vAlign w:val="bottom"/>
          </w:tcPr>
          <w:p w14:paraId="7BCF2A47"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0.001</w:t>
            </w:r>
          </w:p>
        </w:tc>
        <w:tc>
          <w:tcPr>
            <w:tcW w:w="667" w:type="dxa"/>
            <w:vAlign w:val="bottom"/>
          </w:tcPr>
          <w:p w14:paraId="5595EFA9"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0.003</w:t>
            </w:r>
          </w:p>
        </w:tc>
        <w:tc>
          <w:tcPr>
            <w:tcW w:w="667" w:type="dxa"/>
            <w:vAlign w:val="bottom"/>
          </w:tcPr>
          <w:p w14:paraId="7418089F"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590FC0FC"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4C6B5BE3"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4DB0F339"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186FB0CB"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0FDE227B"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0.002</w:t>
            </w:r>
          </w:p>
        </w:tc>
        <w:tc>
          <w:tcPr>
            <w:tcW w:w="826" w:type="dxa"/>
            <w:vAlign w:val="bottom"/>
          </w:tcPr>
          <w:p w14:paraId="57DD8E24"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0.030</w:t>
            </w:r>
          </w:p>
        </w:tc>
        <w:tc>
          <w:tcPr>
            <w:tcW w:w="867" w:type="dxa"/>
            <w:vAlign w:val="bottom"/>
          </w:tcPr>
          <w:p w14:paraId="5AD7F3CF" w14:textId="383EB5D2"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Pr>
                <w:rFonts w:cs="Arial"/>
                <w:sz w:val="20"/>
                <w:szCs w:val="20"/>
              </w:rPr>
              <w:t>31%</w:t>
            </w:r>
          </w:p>
        </w:tc>
      </w:tr>
      <w:tr w:rsidR="00C226FE" w:rsidRPr="0089011E" w14:paraId="498C17D4" w14:textId="29B12361" w:rsidTr="00DD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28FF93D3" w14:textId="77777777" w:rsidR="00C226FE" w:rsidRPr="0089011E" w:rsidRDefault="00C226FE" w:rsidP="00656AF0">
            <w:pPr>
              <w:pStyle w:val="Table1"/>
            </w:pPr>
            <w:r w:rsidRPr="0089011E">
              <w:t>2016</w:t>
            </w:r>
          </w:p>
        </w:tc>
        <w:tc>
          <w:tcPr>
            <w:tcW w:w="667" w:type="dxa"/>
            <w:vAlign w:val="bottom"/>
          </w:tcPr>
          <w:p w14:paraId="6FD6E110"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0.002</w:t>
            </w:r>
          </w:p>
        </w:tc>
        <w:tc>
          <w:tcPr>
            <w:tcW w:w="667" w:type="dxa"/>
            <w:vAlign w:val="bottom"/>
          </w:tcPr>
          <w:p w14:paraId="218513BB"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0.000</w:t>
            </w:r>
          </w:p>
        </w:tc>
        <w:tc>
          <w:tcPr>
            <w:tcW w:w="667" w:type="dxa"/>
            <w:vAlign w:val="bottom"/>
          </w:tcPr>
          <w:p w14:paraId="0952BC96"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0.001</w:t>
            </w:r>
          </w:p>
        </w:tc>
        <w:tc>
          <w:tcPr>
            <w:tcW w:w="667" w:type="dxa"/>
            <w:vAlign w:val="bottom"/>
          </w:tcPr>
          <w:p w14:paraId="46197D31"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0.000</w:t>
            </w:r>
          </w:p>
        </w:tc>
        <w:tc>
          <w:tcPr>
            <w:tcW w:w="667" w:type="dxa"/>
            <w:vAlign w:val="bottom"/>
          </w:tcPr>
          <w:p w14:paraId="5AE48B34"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0.000</w:t>
            </w:r>
          </w:p>
        </w:tc>
        <w:tc>
          <w:tcPr>
            <w:tcW w:w="667" w:type="dxa"/>
            <w:vAlign w:val="bottom"/>
          </w:tcPr>
          <w:p w14:paraId="0CBD31E5"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0.003</w:t>
            </w:r>
          </w:p>
        </w:tc>
        <w:tc>
          <w:tcPr>
            <w:tcW w:w="667" w:type="dxa"/>
            <w:vAlign w:val="bottom"/>
          </w:tcPr>
          <w:p w14:paraId="512FD62A"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0.002</w:t>
            </w:r>
          </w:p>
        </w:tc>
        <w:tc>
          <w:tcPr>
            <w:tcW w:w="667" w:type="dxa"/>
            <w:vAlign w:val="bottom"/>
          </w:tcPr>
          <w:p w14:paraId="3337D709"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0.000</w:t>
            </w:r>
          </w:p>
        </w:tc>
        <w:tc>
          <w:tcPr>
            <w:tcW w:w="667" w:type="dxa"/>
            <w:vAlign w:val="bottom"/>
          </w:tcPr>
          <w:p w14:paraId="00413C94"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0.000</w:t>
            </w:r>
          </w:p>
        </w:tc>
        <w:tc>
          <w:tcPr>
            <w:tcW w:w="667" w:type="dxa"/>
            <w:vAlign w:val="bottom"/>
          </w:tcPr>
          <w:p w14:paraId="61BDB81B"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0.000</w:t>
            </w:r>
          </w:p>
        </w:tc>
        <w:tc>
          <w:tcPr>
            <w:tcW w:w="667" w:type="dxa"/>
            <w:vAlign w:val="bottom"/>
          </w:tcPr>
          <w:p w14:paraId="464CC272"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0.000</w:t>
            </w:r>
          </w:p>
        </w:tc>
        <w:tc>
          <w:tcPr>
            <w:tcW w:w="667" w:type="dxa"/>
            <w:vAlign w:val="bottom"/>
          </w:tcPr>
          <w:p w14:paraId="09CC6117"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0.004</w:t>
            </w:r>
          </w:p>
        </w:tc>
        <w:tc>
          <w:tcPr>
            <w:tcW w:w="826" w:type="dxa"/>
            <w:vAlign w:val="bottom"/>
          </w:tcPr>
          <w:p w14:paraId="00B56263"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0.012</w:t>
            </w:r>
          </w:p>
        </w:tc>
        <w:tc>
          <w:tcPr>
            <w:tcW w:w="867" w:type="dxa"/>
            <w:vAlign w:val="bottom"/>
          </w:tcPr>
          <w:p w14:paraId="0BA713DD" w14:textId="0C20E29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Pr>
                <w:rFonts w:cs="Arial"/>
                <w:sz w:val="20"/>
                <w:szCs w:val="20"/>
              </w:rPr>
              <w:t>29%</w:t>
            </w:r>
          </w:p>
        </w:tc>
      </w:tr>
      <w:tr w:rsidR="00C226FE" w:rsidRPr="0089011E" w14:paraId="2C2C67E1" w14:textId="23B1ADAC" w:rsidTr="00DD45F9">
        <w:tc>
          <w:tcPr>
            <w:cnfStyle w:val="001000000000" w:firstRow="0" w:lastRow="0" w:firstColumn="1" w:lastColumn="0" w:oddVBand="0" w:evenVBand="0" w:oddHBand="0" w:evenHBand="0" w:firstRowFirstColumn="0" w:firstRowLastColumn="0" w:lastRowFirstColumn="0" w:lastRowLastColumn="0"/>
            <w:tcW w:w="617" w:type="dxa"/>
            <w:vAlign w:val="bottom"/>
          </w:tcPr>
          <w:p w14:paraId="1E7AEBC6" w14:textId="77777777" w:rsidR="00C226FE" w:rsidRPr="0089011E" w:rsidRDefault="00C226FE" w:rsidP="00656AF0">
            <w:pPr>
              <w:pStyle w:val="Table1"/>
            </w:pPr>
            <w:r w:rsidRPr="0089011E">
              <w:t>2017</w:t>
            </w:r>
          </w:p>
        </w:tc>
        <w:tc>
          <w:tcPr>
            <w:tcW w:w="667" w:type="dxa"/>
            <w:vAlign w:val="bottom"/>
          </w:tcPr>
          <w:p w14:paraId="6CB3BC01"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46407197"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3152982E"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0.004</w:t>
            </w:r>
          </w:p>
        </w:tc>
        <w:tc>
          <w:tcPr>
            <w:tcW w:w="667" w:type="dxa"/>
            <w:vAlign w:val="bottom"/>
          </w:tcPr>
          <w:p w14:paraId="48A4ECE2"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7A208193"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0.003</w:t>
            </w:r>
          </w:p>
        </w:tc>
        <w:tc>
          <w:tcPr>
            <w:tcW w:w="667" w:type="dxa"/>
            <w:vAlign w:val="bottom"/>
          </w:tcPr>
          <w:p w14:paraId="4C17DEAF"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0.004</w:t>
            </w:r>
          </w:p>
        </w:tc>
        <w:tc>
          <w:tcPr>
            <w:tcW w:w="667" w:type="dxa"/>
            <w:vAlign w:val="bottom"/>
          </w:tcPr>
          <w:p w14:paraId="4AC6CA32"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0.003</w:t>
            </w:r>
          </w:p>
        </w:tc>
        <w:tc>
          <w:tcPr>
            <w:tcW w:w="667" w:type="dxa"/>
            <w:vAlign w:val="bottom"/>
          </w:tcPr>
          <w:p w14:paraId="4747CC36"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28720A9C"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3A0DD817"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4027C6E4"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5105FF2E"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0.006</w:t>
            </w:r>
          </w:p>
        </w:tc>
        <w:tc>
          <w:tcPr>
            <w:tcW w:w="826" w:type="dxa"/>
            <w:vAlign w:val="bottom"/>
          </w:tcPr>
          <w:p w14:paraId="6E1B6631"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0.020</w:t>
            </w:r>
          </w:p>
        </w:tc>
        <w:tc>
          <w:tcPr>
            <w:tcW w:w="867" w:type="dxa"/>
            <w:vAlign w:val="bottom"/>
          </w:tcPr>
          <w:p w14:paraId="726075A6" w14:textId="1F466DBC"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Pr>
                <w:rFonts w:cs="Arial"/>
                <w:sz w:val="20"/>
                <w:szCs w:val="20"/>
              </w:rPr>
              <w:t>28%</w:t>
            </w:r>
          </w:p>
        </w:tc>
      </w:tr>
      <w:tr w:rsidR="00C226FE" w:rsidRPr="0089011E" w14:paraId="66992BFF" w14:textId="798E5D28" w:rsidTr="00DD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3E99E2CD" w14:textId="77777777" w:rsidR="00C226FE" w:rsidRPr="0089011E" w:rsidRDefault="00C226FE" w:rsidP="00656AF0">
            <w:pPr>
              <w:pStyle w:val="Table1"/>
            </w:pPr>
            <w:r w:rsidRPr="0089011E">
              <w:t>2018</w:t>
            </w:r>
          </w:p>
        </w:tc>
        <w:tc>
          <w:tcPr>
            <w:tcW w:w="667" w:type="dxa"/>
            <w:vAlign w:val="bottom"/>
          </w:tcPr>
          <w:p w14:paraId="309EB7ED"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0.002</w:t>
            </w:r>
          </w:p>
        </w:tc>
        <w:tc>
          <w:tcPr>
            <w:tcW w:w="667" w:type="dxa"/>
            <w:vAlign w:val="bottom"/>
          </w:tcPr>
          <w:p w14:paraId="5402D6B0"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0.002</w:t>
            </w:r>
          </w:p>
        </w:tc>
        <w:tc>
          <w:tcPr>
            <w:tcW w:w="667" w:type="dxa"/>
            <w:vAlign w:val="bottom"/>
          </w:tcPr>
          <w:p w14:paraId="0BF304BE"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0.002</w:t>
            </w:r>
          </w:p>
        </w:tc>
        <w:tc>
          <w:tcPr>
            <w:tcW w:w="667" w:type="dxa"/>
            <w:vAlign w:val="bottom"/>
          </w:tcPr>
          <w:p w14:paraId="0509A898"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0.002</w:t>
            </w:r>
          </w:p>
        </w:tc>
        <w:tc>
          <w:tcPr>
            <w:tcW w:w="667" w:type="dxa"/>
            <w:vAlign w:val="bottom"/>
          </w:tcPr>
          <w:p w14:paraId="5E959234"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0.003</w:t>
            </w:r>
          </w:p>
        </w:tc>
        <w:tc>
          <w:tcPr>
            <w:tcW w:w="667" w:type="dxa"/>
            <w:vAlign w:val="bottom"/>
          </w:tcPr>
          <w:p w14:paraId="2B16BD91"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0.015</w:t>
            </w:r>
          </w:p>
        </w:tc>
        <w:tc>
          <w:tcPr>
            <w:tcW w:w="667" w:type="dxa"/>
            <w:vAlign w:val="bottom"/>
          </w:tcPr>
          <w:p w14:paraId="22733400"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0.005</w:t>
            </w:r>
          </w:p>
        </w:tc>
        <w:tc>
          <w:tcPr>
            <w:tcW w:w="667" w:type="dxa"/>
            <w:vAlign w:val="bottom"/>
          </w:tcPr>
          <w:p w14:paraId="389EB30D"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0.000</w:t>
            </w:r>
          </w:p>
        </w:tc>
        <w:tc>
          <w:tcPr>
            <w:tcW w:w="667" w:type="dxa"/>
            <w:vAlign w:val="bottom"/>
          </w:tcPr>
          <w:p w14:paraId="3B47C567"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0.000</w:t>
            </w:r>
          </w:p>
        </w:tc>
        <w:tc>
          <w:tcPr>
            <w:tcW w:w="667" w:type="dxa"/>
            <w:vAlign w:val="bottom"/>
          </w:tcPr>
          <w:p w14:paraId="4B6CC56D"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0.000</w:t>
            </w:r>
          </w:p>
        </w:tc>
        <w:tc>
          <w:tcPr>
            <w:tcW w:w="667" w:type="dxa"/>
            <w:vAlign w:val="bottom"/>
          </w:tcPr>
          <w:p w14:paraId="26DECB9A"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0.000</w:t>
            </w:r>
          </w:p>
        </w:tc>
        <w:tc>
          <w:tcPr>
            <w:tcW w:w="667" w:type="dxa"/>
            <w:vAlign w:val="bottom"/>
          </w:tcPr>
          <w:p w14:paraId="4C35A717"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0.020</w:t>
            </w:r>
          </w:p>
        </w:tc>
        <w:tc>
          <w:tcPr>
            <w:tcW w:w="826" w:type="dxa"/>
            <w:vAlign w:val="bottom"/>
          </w:tcPr>
          <w:p w14:paraId="4157F685"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0.051</w:t>
            </w:r>
          </w:p>
        </w:tc>
        <w:tc>
          <w:tcPr>
            <w:tcW w:w="867" w:type="dxa"/>
            <w:vAlign w:val="bottom"/>
          </w:tcPr>
          <w:p w14:paraId="6598D179" w14:textId="6D6B8CDD"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Pr>
                <w:rFonts w:cs="Arial"/>
                <w:sz w:val="20"/>
                <w:szCs w:val="20"/>
              </w:rPr>
              <w:t>24%</w:t>
            </w:r>
          </w:p>
        </w:tc>
      </w:tr>
      <w:tr w:rsidR="00C226FE" w:rsidRPr="0089011E" w14:paraId="19E6DD13" w14:textId="32A8F83B" w:rsidTr="00DD45F9">
        <w:tc>
          <w:tcPr>
            <w:cnfStyle w:val="001000000000" w:firstRow="0" w:lastRow="0" w:firstColumn="1" w:lastColumn="0" w:oddVBand="0" w:evenVBand="0" w:oddHBand="0" w:evenHBand="0" w:firstRowFirstColumn="0" w:firstRowLastColumn="0" w:lastRowFirstColumn="0" w:lastRowLastColumn="0"/>
            <w:tcW w:w="617" w:type="dxa"/>
            <w:vAlign w:val="bottom"/>
          </w:tcPr>
          <w:p w14:paraId="1D39D41E" w14:textId="77777777" w:rsidR="00C226FE" w:rsidRPr="0089011E" w:rsidRDefault="00C226FE" w:rsidP="00656AF0">
            <w:pPr>
              <w:pStyle w:val="Table1"/>
            </w:pPr>
            <w:r w:rsidRPr="0089011E">
              <w:t>2019</w:t>
            </w:r>
          </w:p>
        </w:tc>
        <w:tc>
          <w:tcPr>
            <w:tcW w:w="667" w:type="dxa"/>
            <w:vAlign w:val="bottom"/>
          </w:tcPr>
          <w:p w14:paraId="4E8B4DC0"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0.002</w:t>
            </w:r>
          </w:p>
        </w:tc>
        <w:tc>
          <w:tcPr>
            <w:tcW w:w="667" w:type="dxa"/>
            <w:vAlign w:val="bottom"/>
          </w:tcPr>
          <w:p w14:paraId="5132AA32"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0.004</w:t>
            </w:r>
          </w:p>
        </w:tc>
        <w:tc>
          <w:tcPr>
            <w:tcW w:w="667" w:type="dxa"/>
            <w:vAlign w:val="bottom"/>
          </w:tcPr>
          <w:p w14:paraId="1FB82C23"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77820ABC"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0.002</w:t>
            </w:r>
          </w:p>
        </w:tc>
        <w:tc>
          <w:tcPr>
            <w:tcW w:w="667" w:type="dxa"/>
            <w:vAlign w:val="bottom"/>
          </w:tcPr>
          <w:p w14:paraId="52E2CE33"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0.003</w:t>
            </w:r>
          </w:p>
        </w:tc>
        <w:tc>
          <w:tcPr>
            <w:tcW w:w="667" w:type="dxa"/>
            <w:vAlign w:val="bottom"/>
          </w:tcPr>
          <w:p w14:paraId="620D56C3"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0.022</w:t>
            </w:r>
          </w:p>
        </w:tc>
        <w:tc>
          <w:tcPr>
            <w:tcW w:w="667" w:type="dxa"/>
            <w:vAlign w:val="bottom"/>
          </w:tcPr>
          <w:p w14:paraId="34C667AF"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0.004</w:t>
            </w:r>
          </w:p>
        </w:tc>
        <w:tc>
          <w:tcPr>
            <w:tcW w:w="667" w:type="dxa"/>
            <w:vAlign w:val="bottom"/>
          </w:tcPr>
          <w:p w14:paraId="3A846D2E"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055D57EE"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6902ED3F"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30547509"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331AAA5E"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0.021</w:t>
            </w:r>
          </w:p>
        </w:tc>
        <w:tc>
          <w:tcPr>
            <w:tcW w:w="826" w:type="dxa"/>
            <w:vAlign w:val="bottom"/>
          </w:tcPr>
          <w:p w14:paraId="2106B8A9"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0.058</w:t>
            </w:r>
          </w:p>
        </w:tc>
        <w:tc>
          <w:tcPr>
            <w:tcW w:w="867" w:type="dxa"/>
            <w:vAlign w:val="bottom"/>
          </w:tcPr>
          <w:p w14:paraId="1747D125" w14:textId="1241D74A"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Pr>
                <w:rFonts w:cs="Arial"/>
                <w:sz w:val="20"/>
                <w:szCs w:val="20"/>
              </w:rPr>
              <w:t>24%</w:t>
            </w:r>
          </w:p>
        </w:tc>
      </w:tr>
      <w:tr w:rsidR="00C226FE" w:rsidRPr="0089011E" w14:paraId="3380CE4C" w14:textId="392F2686" w:rsidTr="00DD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48BBE5CA" w14:textId="77777777" w:rsidR="00C226FE" w:rsidRPr="0089011E" w:rsidRDefault="00C226FE" w:rsidP="00656AF0">
            <w:pPr>
              <w:pStyle w:val="Table1"/>
            </w:pPr>
            <w:r w:rsidRPr="0089011E">
              <w:t>2020</w:t>
            </w:r>
          </w:p>
        </w:tc>
        <w:tc>
          <w:tcPr>
            <w:tcW w:w="667" w:type="dxa"/>
            <w:vAlign w:val="bottom"/>
          </w:tcPr>
          <w:p w14:paraId="6B6B3F96"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0.004</w:t>
            </w:r>
          </w:p>
        </w:tc>
        <w:tc>
          <w:tcPr>
            <w:tcW w:w="667" w:type="dxa"/>
            <w:vAlign w:val="bottom"/>
          </w:tcPr>
          <w:p w14:paraId="0C734918"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0.002</w:t>
            </w:r>
          </w:p>
        </w:tc>
        <w:tc>
          <w:tcPr>
            <w:tcW w:w="667" w:type="dxa"/>
            <w:vAlign w:val="bottom"/>
          </w:tcPr>
          <w:p w14:paraId="3DC7CAE7"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0.001</w:t>
            </w:r>
          </w:p>
        </w:tc>
        <w:tc>
          <w:tcPr>
            <w:tcW w:w="667" w:type="dxa"/>
            <w:vAlign w:val="bottom"/>
          </w:tcPr>
          <w:p w14:paraId="34BFC7B3"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0.000</w:t>
            </w:r>
          </w:p>
        </w:tc>
        <w:tc>
          <w:tcPr>
            <w:tcW w:w="667" w:type="dxa"/>
            <w:vAlign w:val="bottom"/>
          </w:tcPr>
          <w:p w14:paraId="3C5CF851"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0.006</w:t>
            </w:r>
          </w:p>
        </w:tc>
        <w:tc>
          <w:tcPr>
            <w:tcW w:w="667" w:type="dxa"/>
            <w:vAlign w:val="bottom"/>
          </w:tcPr>
          <w:p w14:paraId="55AF108B"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0.015</w:t>
            </w:r>
          </w:p>
        </w:tc>
        <w:tc>
          <w:tcPr>
            <w:tcW w:w="667" w:type="dxa"/>
            <w:vAlign w:val="bottom"/>
          </w:tcPr>
          <w:p w14:paraId="381A8B86"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0.004</w:t>
            </w:r>
          </w:p>
        </w:tc>
        <w:tc>
          <w:tcPr>
            <w:tcW w:w="667" w:type="dxa"/>
            <w:vAlign w:val="bottom"/>
          </w:tcPr>
          <w:p w14:paraId="6D676426"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0.000</w:t>
            </w:r>
          </w:p>
        </w:tc>
        <w:tc>
          <w:tcPr>
            <w:tcW w:w="667" w:type="dxa"/>
            <w:vAlign w:val="bottom"/>
          </w:tcPr>
          <w:p w14:paraId="327A0928"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0.000</w:t>
            </w:r>
          </w:p>
        </w:tc>
        <w:tc>
          <w:tcPr>
            <w:tcW w:w="667" w:type="dxa"/>
            <w:vAlign w:val="bottom"/>
          </w:tcPr>
          <w:p w14:paraId="0EBE070C"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0.000</w:t>
            </w:r>
          </w:p>
        </w:tc>
        <w:tc>
          <w:tcPr>
            <w:tcW w:w="667" w:type="dxa"/>
            <w:vAlign w:val="bottom"/>
          </w:tcPr>
          <w:p w14:paraId="2B20FDB9"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0.001</w:t>
            </w:r>
          </w:p>
        </w:tc>
        <w:tc>
          <w:tcPr>
            <w:tcW w:w="667" w:type="dxa"/>
            <w:vAlign w:val="bottom"/>
          </w:tcPr>
          <w:p w14:paraId="2BB27C0C"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0.024</w:t>
            </w:r>
          </w:p>
        </w:tc>
        <w:tc>
          <w:tcPr>
            <w:tcW w:w="826" w:type="dxa"/>
            <w:vAlign w:val="bottom"/>
          </w:tcPr>
          <w:p w14:paraId="794DAA07"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0.057</w:t>
            </w:r>
          </w:p>
        </w:tc>
        <w:tc>
          <w:tcPr>
            <w:tcW w:w="867" w:type="dxa"/>
            <w:vAlign w:val="bottom"/>
          </w:tcPr>
          <w:p w14:paraId="60E5B15A" w14:textId="53F439EE"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Pr>
                <w:rFonts w:cs="Arial"/>
                <w:sz w:val="20"/>
                <w:szCs w:val="20"/>
              </w:rPr>
              <w:t>24%</w:t>
            </w:r>
          </w:p>
        </w:tc>
      </w:tr>
      <w:tr w:rsidR="00C226FE" w:rsidRPr="0089011E" w14:paraId="47A0F511" w14:textId="66D1BF41" w:rsidTr="00DD45F9">
        <w:tc>
          <w:tcPr>
            <w:cnfStyle w:val="001000000000" w:firstRow="0" w:lastRow="0" w:firstColumn="1" w:lastColumn="0" w:oddVBand="0" w:evenVBand="0" w:oddHBand="0" w:evenHBand="0" w:firstRowFirstColumn="0" w:firstRowLastColumn="0" w:lastRowFirstColumn="0" w:lastRowLastColumn="0"/>
            <w:tcW w:w="617" w:type="dxa"/>
            <w:vAlign w:val="bottom"/>
          </w:tcPr>
          <w:p w14:paraId="6F7707E8" w14:textId="77777777" w:rsidR="00C226FE" w:rsidRPr="0089011E" w:rsidRDefault="00C226FE" w:rsidP="00656AF0">
            <w:pPr>
              <w:pStyle w:val="Table1"/>
            </w:pPr>
            <w:r w:rsidRPr="0089011E">
              <w:t>2025</w:t>
            </w:r>
          </w:p>
        </w:tc>
        <w:tc>
          <w:tcPr>
            <w:tcW w:w="667" w:type="dxa"/>
            <w:vAlign w:val="bottom"/>
          </w:tcPr>
          <w:p w14:paraId="4477485E"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0.003</w:t>
            </w:r>
          </w:p>
        </w:tc>
        <w:tc>
          <w:tcPr>
            <w:tcW w:w="667" w:type="dxa"/>
            <w:vAlign w:val="bottom"/>
          </w:tcPr>
          <w:p w14:paraId="2F200602"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0.001</w:t>
            </w:r>
          </w:p>
        </w:tc>
        <w:tc>
          <w:tcPr>
            <w:tcW w:w="667" w:type="dxa"/>
            <w:vAlign w:val="bottom"/>
          </w:tcPr>
          <w:p w14:paraId="7A93359E"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0.002</w:t>
            </w:r>
          </w:p>
        </w:tc>
        <w:tc>
          <w:tcPr>
            <w:tcW w:w="667" w:type="dxa"/>
            <w:vAlign w:val="bottom"/>
          </w:tcPr>
          <w:p w14:paraId="7C7CE5C1"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5E872AF3"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0.006</w:t>
            </w:r>
          </w:p>
        </w:tc>
        <w:tc>
          <w:tcPr>
            <w:tcW w:w="667" w:type="dxa"/>
            <w:vAlign w:val="bottom"/>
          </w:tcPr>
          <w:p w14:paraId="0287A6A4"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0.019</w:t>
            </w:r>
          </w:p>
        </w:tc>
        <w:tc>
          <w:tcPr>
            <w:tcW w:w="667" w:type="dxa"/>
            <w:vAlign w:val="bottom"/>
          </w:tcPr>
          <w:p w14:paraId="29108672"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0.018</w:t>
            </w:r>
          </w:p>
        </w:tc>
        <w:tc>
          <w:tcPr>
            <w:tcW w:w="667" w:type="dxa"/>
            <w:vAlign w:val="bottom"/>
          </w:tcPr>
          <w:p w14:paraId="7A0284FA"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4DB45930"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1ACE75B5"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0.003</w:t>
            </w:r>
          </w:p>
        </w:tc>
        <w:tc>
          <w:tcPr>
            <w:tcW w:w="667" w:type="dxa"/>
            <w:vAlign w:val="bottom"/>
          </w:tcPr>
          <w:p w14:paraId="7D867079"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2995DC5A"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0.020</w:t>
            </w:r>
          </w:p>
        </w:tc>
        <w:tc>
          <w:tcPr>
            <w:tcW w:w="826" w:type="dxa"/>
            <w:vAlign w:val="bottom"/>
          </w:tcPr>
          <w:p w14:paraId="75332F0D"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0.072</w:t>
            </w:r>
          </w:p>
        </w:tc>
        <w:tc>
          <w:tcPr>
            <w:tcW w:w="867" w:type="dxa"/>
            <w:vAlign w:val="bottom"/>
          </w:tcPr>
          <w:p w14:paraId="17A32098" w14:textId="71EC27B4"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Pr>
                <w:rFonts w:cs="Arial"/>
                <w:sz w:val="20"/>
                <w:szCs w:val="20"/>
              </w:rPr>
              <w:t>23%</w:t>
            </w:r>
          </w:p>
        </w:tc>
      </w:tr>
      <w:tr w:rsidR="00C226FE" w:rsidRPr="0089011E" w14:paraId="2499ABF0" w14:textId="682623FC" w:rsidTr="00DD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04E66406" w14:textId="77777777" w:rsidR="00C226FE" w:rsidRPr="0089011E" w:rsidRDefault="00C226FE" w:rsidP="00656AF0">
            <w:pPr>
              <w:pStyle w:val="Table1"/>
            </w:pPr>
            <w:r w:rsidRPr="0089011E">
              <w:t>2030</w:t>
            </w:r>
          </w:p>
        </w:tc>
        <w:tc>
          <w:tcPr>
            <w:tcW w:w="667" w:type="dxa"/>
            <w:vAlign w:val="bottom"/>
          </w:tcPr>
          <w:p w14:paraId="1597DB4D"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0.001</w:t>
            </w:r>
          </w:p>
        </w:tc>
        <w:tc>
          <w:tcPr>
            <w:tcW w:w="667" w:type="dxa"/>
            <w:vAlign w:val="bottom"/>
          </w:tcPr>
          <w:p w14:paraId="7DC4D762"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0.003</w:t>
            </w:r>
          </w:p>
        </w:tc>
        <w:tc>
          <w:tcPr>
            <w:tcW w:w="667" w:type="dxa"/>
            <w:vAlign w:val="bottom"/>
          </w:tcPr>
          <w:p w14:paraId="0387D692"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0.001</w:t>
            </w:r>
          </w:p>
        </w:tc>
        <w:tc>
          <w:tcPr>
            <w:tcW w:w="667" w:type="dxa"/>
            <w:vAlign w:val="bottom"/>
          </w:tcPr>
          <w:p w14:paraId="0D3F5E35"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0.000</w:t>
            </w:r>
          </w:p>
        </w:tc>
        <w:tc>
          <w:tcPr>
            <w:tcW w:w="667" w:type="dxa"/>
            <w:vAlign w:val="bottom"/>
          </w:tcPr>
          <w:p w14:paraId="530DCF73"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0.001</w:t>
            </w:r>
          </w:p>
        </w:tc>
        <w:tc>
          <w:tcPr>
            <w:tcW w:w="667" w:type="dxa"/>
            <w:vAlign w:val="bottom"/>
          </w:tcPr>
          <w:p w14:paraId="53DC5175"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0.016</w:t>
            </w:r>
          </w:p>
        </w:tc>
        <w:tc>
          <w:tcPr>
            <w:tcW w:w="667" w:type="dxa"/>
            <w:vAlign w:val="bottom"/>
          </w:tcPr>
          <w:p w14:paraId="462DD7CF"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0.006</w:t>
            </w:r>
          </w:p>
        </w:tc>
        <w:tc>
          <w:tcPr>
            <w:tcW w:w="667" w:type="dxa"/>
            <w:vAlign w:val="bottom"/>
          </w:tcPr>
          <w:p w14:paraId="67BD0606"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0.000</w:t>
            </w:r>
          </w:p>
        </w:tc>
        <w:tc>
          <w:tcPr>
            <w:tcW w:w="667" w:type="dxa"/>
            <w:vAlign w:val="bottom"/>
          </w:tcPr>
          <w:p w14:paraId="599D0E9C"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0.000</w:t>
            </w:r>
          </w:p>
        </w:tc>
        <w:tc>
          <w:tcPr>
            <w:tcW w:w="667" w:type="dxa"/>
            <w:vAlign w:val="bottom"/>
          </w:tcPr>
          <w:p w14:paraId="79466F3A"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0.000</w:t>
            </w:r>
          </w:p>
        </w:tc>
        <w:tc>
          <w:tcPr>
            <w:tcW w:w="667" w:type="dxa"/>
            <w:vAlign w:val="bottom"/>
          </w:tcPr>
          <w:p w14:paraId="1E260E3E"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0.000</w:t>
            </w:r>
          </w:p>
        </w:tc>
        <w:tc>
          <w:tcPr>
            <w:tcW w:w="667" w:type="dxa"/>
            <w:vAlign w:val="bottom"/>
          </w:tcPr>
          <w:p w14:paraId="34FD11E7"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0.039</w:t>
            </w:r>
          </w:p>
        </w:tc>
        <w:tc>
          <w:tcPr>
            <w:tcW w:w="826" w:type="dxa"/>
            <w:vAlign w:val="bottom"/>
          </w:tcPr>
          <w:p w14:paraId="6BA4994A" w14:textId="77777777"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9011E">
              <w:t>0.067</w:t>
            </w:r>
          </w:p>
        </w:tc>
        <w:tc>
          <w:tcPr>
            <w:tcW w:w="867" w:type="dxa"/>
            <w:vAlign w:val="bottom"/>
          </w:tcPr>
          <w:p w14:paraId="1A3F604D" w14:textId="4756E0B2" w:rsidR="00C226FE" w:rsidRPr="0089011E" w:rsidRDefault="00C226FE" w:rsidP="00656AF0">
            <w:pPr>
              <w:pStyle w:val="Table1"/>
              <w:cnfStyle w:val="000000100000" w:firstRow="0" w:lastRow="0" w:firstColumn="0" w:lastColumn="0" w:oddVBand="0" w:evenVBand="0" w:oddHBand="1" w:evenHBand="0" w:firstRowFirstColumn="0" w:firstRowLastColumn="0" w:lastRowFirstColumn="0" w:lastRowLastColumn="0"/>
            </w:pPr>
            <w:r>
              <w:rPr>
                <w:rFonts w:cs="Arial"/>
                <w:sz w:val="20"/>
                <w:szCs w:val="20"/>
              </w:rPr>
              <w:t>22%</w:t>
            </w:r>
          </w:p>
        </w:tc>
      </w:tr>
      <w:tr w:rsidR="00C226FE" w:rsidRPr="0089011E" w14:paraId="7DA3A3D8" w14:textId="0C5E3714" w:rsidTr="00DD45F9">
        <w:tc>
          <w:tcPr>
            <w:cnfStyle w:val="001000000000" w:firstRow="0" w:lastRow="0" w:firstColumn="1" w:lastColumn="0" w:oddVBand="0" w:evenVBand="0" w:oddHBand="0" w:evenHBand="0" w:firstRowFirstColumn="0" w:firstRowLastColumn="0" w:lastRowFirstColumn="0" w:lastRowLastColumn="0"/>
            <w:tcW w:w="617" w:type="dxa"/>
            <w:vAlign w:val="bottom"/>
          </w:tcPr>
          <w:p w14:paraId="3665DA00" w14:textId="77777777" w:rsidR="00C226FE" w:rsidRPr="0089011E" w:rsidRDefault="00C226FE" w:rsidP="00656AF0">
            <w:pPr>
              <w:pStyle w:val="Table1"/>
            </w:pPr>
            <w:r w:rsidRPr="0089011E">
              <w:t>2033</w:t>
            </w:r>
          </w:p>
        </w:tc>
        <w:tc>
          <w:tcPr>
            <w:tcW w:w="667" w:type="dxa"/>
            <w:vAlign w:val="bottom"/>
          </w:tcPr>
          <w:p w14:paraId="7C68F43C"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0.003</w:t>
            </w:r>
          </w:p>
        </w:tc>
        <w:tc>
          <w:tcPr>
            <w:tcW w:w="667" w:type="dxa"/>
            <w:vAlign w:val="bottom"/>
          </w:tcPr>
          <w:p w14:paraId="616E9183"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69D14832"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1CCB9ECD"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4A97E2E2"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0.004</w:t>
            </w:r>
          </w:p>
        </w:tc>
        <w:tc>
          <w:tcPr>
            <w:tcW w:w="667" w:type="dxa"/>
            <w:vAlign w:val="bottom"/>
          </w:tcPr>
          <w:p w14:paraId="3FE7CBB9"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0.021</w:t>
            </w:r>
          </w:p>
        </w:tc>
        <w:tc>
          <w:tcPr>
            <w:tcW w:w="667" w:type="dxa"/>
            <w:vAlign w:val="bottom"/>
          </w:tcPr>
          <w:p w14:paraId="3A7F46F5"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0.008</w:t>
            </w:r>
          </w:p>
        </w:tc>
        <w:tc>
          <w:tcPr>
            <w:tcW w:w="667" w:type="dxa"/>
            <w:vAlign w:val="bottom"/>
          </w:tcPr>
          <w:p w14:paraId="3FD1FB2C"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759D9C7A"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3A88D7D3"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2ECC9BE2"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0.000</w:t>
            </w:r>
          </w:p>
        </w:tc>
        <w:tc>
          <w:tcPr>
            <w:tcW w:w="667" w:type="dxa"/>
            <w:vAlign w:val="bottom"/>
          </w:tcPr>
          <w:p w14:paraId="7A850BF5"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0.021</w:t>
            </w:r>
          </w:p>
        </w:tc>
        <w:tc>
          <w:tcPr>
            <w:tcW w:w="826" w:type="dxa"/>
            <w:vAlign w:val="bottom"/>
          </w:tcPr>
          <w:p w14:paraId="5D28B48E" w14:textId="77777777"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9011E">
              <w:t>0.057</w:t>
            </w:r>
          </w:p>
        </w:tc>
        <w:tc>
          <w:tcPr>
            <w:tcW w:w="867" w:type="dxa"/>
            <w:vAlign w:val="bottom"/>
          </w:tcPr>
          <w:p w14:paraId="1573AA39" w14:textId="1DC1CB5B" w:rsidR="00C226FE" w:rsidRPr="0089011E" w:rsidRDefault="00C226FE" w:rsidP="00656AF0">
            <w:pPr>
              <w:pStyle w:val="Table1"/>
              <w:cnfStyle w:val="000000000000" w:firstRow="0" w:lastRow="0" w:firstColumn="0" w:lastColumn="0" w:oddVBand="0" w:evenVBand="0" w:oddHBand="0" w:evenHBand="0" w:firstRowFirstColumn="0" w:firstRowLastColumn="0" w:lastRowFirstColumn="0" w:lastRowLastColumn="0"/>
            </w:pPr>
            <w:r>
              <w:rPr>
                <w:rFonts w:cs="Arial"/>
                <w:sz w:val="20"/>
                <w:szCs w:val="20"/>
              </w:rPr>
              <w:t>22%</w:t>
            </w:r>
          </w:p>
        </w:tc>
      </w:tr>
    </w:tbl>
    <w:p w14:paraId="09D183C4" w14:textId="77777777" w:rsidR="00EF1D77" w:rsidRPr="001443E3" w:rsidRDefault="00EF1D77" w:rsidP="00EF1D77">
      <w:pPr>
        <w:pStyle w:val="Heading7"/>
      </w:pPr>
      <w:bookmarkStart w:id="60" w:name="_Ref355860504"/>
      <w:r>
        <w:t>Case 3.  Time of Se</w:t>
      </w:r>
      <w:r w:rsidRPr="001443E3">
        <w:t xml:space="preserve">asonal </w:t>
      </w:r>
      <w:r>
        <w:t>P</w:t>
      </w:r>
      <w:r w:rsidRPr="001443E3">
        <w:t>eaks</w:t>
      </w:r>
      <w:bookmarkEnd w:id="60"/>
    </w:p>
    <w:p w14:paraId="45B8B811" w14:textId="5B43A682" w:rsidR="00EF1D77" w:rsidRDefault="00EF1D77" w:rsidP="00EF1D77">
      <w:pPr>
        <w:rPr>
          <w:lang w:val="en-US"/>
        </w:rPr>
      </w:pPr>
      <w:r>
        <w:rPr>
          <w:lang w:val="en-US"/>
        </w:rPr>
        <w:t>The base case assumes the winter peak to occur in December and the summer peak in July. However, historical data in the past 23 years show</w:t>
      </w:r>
      <w:r w:rsidR="00E31784">
        <w:rPr>
          <w:lang w:val="en-US"/>
        </w:rPr>
        <w:t>s</w:t>
      </w:r>
      <w:r>
        <w:rPr>
          <w:lang w:val="en-US"/>
        </w:rPr>
        <w:t xml:space="preserve"> that the winter peak can also occur in November, December and January for 13%, 43.5%, and 43.5% of the time respectively.</w:t>
      </w:r>
      <w:r w:rsidRPr="00BA4B4E">
        <w:rPr>
          <w:lang w:val="en-US"/>
        </w:rPr>
        <w:t xml:space="preserve"> </w:t>
      </w:r>
      <w:r>
        <w:rPr>
          <w:lang w:val="en-US"/>
        </w:rPr>
        <w:t xml:space="preserve">Therefore, this sensitivity case randomly assigns the winter peak to happen in November, December, and January at the probability equal to each month’s historical frequency of occurrences above. The same </w:t>
      </w:r>
      <w:r>
        <w:rPr>
          <w:lang w:val="en-US"/>
        </w:rPr>
        <w:lastRenderedPageBreak/>
        <w:t xml:space="preserve">assumption was made for the summer peak in July and August with their </w:t>
      </w:r>
      <w:r w:rsidR="00E31784">
        <w:rPr>
          <w:lang w:val="en-US"/>
        </w:rPr>
        <w:t xml:space="preserve">probability of </w:t>
      </w:r>
      <w:r>
        <w:rPr>
          <w:lang w:val="en-US"/>
        </w:rPr>
        <w:t xml:space="preserve">occurrence </w:t>
      </w:r>
      <w:r w:rsidR="00E31784">
        <w:rPr>
          <w:lang w:val="en-US"/>
        </w:rPr>
        <w:t>is</w:t>
      </w:r>
      <w:r>
        <w:rPr>
          <w:lang w:val="en-US"/>
        </w:rPr>
        <w:t xml:space="preserve"> 65% and 35% respectively. The resultant LOLEs (shown below) still meet the LOLE target of 0.1 day/year for most of the years in the planning horizon. In </w:t>
      </w:r>
      <w:r w:rsidR="00E31784">
        <w:rPr>
          <w:lang w:val="en-US"/>
        </w:rPr>
        <w:t xml:space="preserve">the </w:t>
      </w:r>
      <w:r>
        <w:rPr>
          <w:lang w:val="en-US"/>
        </w:rPr>
        <w:t xml:space="preserve">2022-2024 period toward the end of the RCA contract, the LOLEs are a bit higher because additional resources were acquired to meet expected gaps in December but </w:t>
      </w:r>
      <w:r w:rsidR="00E31784">
        <w:rPr>
          <w:lang w:val="en-US"/>
        </w:rPr>
        <w:t xml:space="preserve">in this scenario there is a chance </w:t>
      </w:r>
      <w:r>
        <w:rPr>
          <w:lang w:val="en-US"/>
        </w:rPr>
        <w:t xml:space="preserve">the gaps occur in January. However, as this is such a short time period and the overall 1 day in 10 year metric is still met, the Company believes this is acceptable and no further resource is required. </w:t>
      </w:r>
    </w:p>
    <w:p w14:paraId="5A7A310D" w14:textId="2AB1DD10" w:rsidR="00EF1D77" w:rsidRDefault="00EF1D77" w:rsidP="00EF1D77">
      <w:pPr>
        <w:pStyle w:val="TableHeading"/>
      </w:pPr>
      <w:bookmarkStart w:id="61" w:name="_Toc383169309"/>
      <w:bookmarkStart w:id="62" w:name="_Toc421190633"/>
      <w:r>
        <w:t xml:space="preserve">Table </w:t>
      </w:r>
      <w:r>
        <w:fldChar w:fldCharType="begin"/>
      </w:r>
      <w:r>
        <w:instrText xml:space="preserve"> STYLEREF 1 \s </w:instrText>
      </w:r>
      <w:r>
        <w:fldChar w:fldCharType="separate"/>
      </w:r>
      <w:r w:rsidR="005B1B18">
        <w:rPr>
          <w:noProof/>
        </w:rPr>
        <w:t>3</w:t>
      </w:r>
      <w:r>
        <w:fldChar w:fldCharType="end"/>
      </w:r>
      <w:r>
        <w:noBreakHyphen/>
        <w:t xml:space="preserve">5:  LOLE in </w:t>
      </w:r>
      <w:r w:rsidR="00812C1B">
        <w:t xml:space="preserve">Case 3 </w:t>
      </w:r>
      <w:r>
        <w:t xml:space="preserve">– </w:t>
      </w:r>
      <w:r w:rsidRPr="009A048A">
        <w:t xml:space="preserve">Time of </w:t>
      </w:r>
      <w:r>
        <w:t>S</w:t>
      </w:r>
      <w:r w:rsidRPr="009A048A">
        <w:t xml:space="preserve">easonal </w:t>
      </w:r>
      <w:r>
        <w:t>P</w:t>
      </w:r>
      <w:r w:rsidRPr="009A048A">
        <w:t>eaks</w:t>
      </w:r>
      <w:bookmarkEnd w:id="61"/>
      <w:bookmarkEnd w:id="62"/>
    </w:p>
    <w:tbl>
      <w:tblPr>
        <w:tblStyle w:val="LightList-Accent11"/>
        <w:tblW w:w="10437" w:type="dxa"/>
        <w:tblLayout w:type="fixed"/>
        <w:tblLook w:val="04A0" w:firstRow="1" w:lastRow="0" w:firstColumn="1" w:lastColumn="0" w:noHBand="0" w:noVBand="1"/>
      </w:tblPr>
      <w:tblGrid>
        <w:gridCol w:w="675"/>
        <w:gridCol w:w="675"/>
        <w:gridCol w:w="675"/>
        <w:gridCol w:w="675"/>
        <w:gridCol w:w="675"/>
        <w:gridCol w:w="675"/>
        <w:gridCol w:w="675"/>
        <w:gridCol w:w="675"/>
        <w:gridCol w:w="675"/>
        <w:gridCol w:w="675"/>
        <w:gridCol w:w="675"/>
        <w:gridCol w:w="675"/>
        <w:gridCol w:w="675"/>
        <w:gridCol w:w="831"/>
        <w:gridCol w:w="831"/>
      </w:tblGrid>
      <w:tr w:rsidR="00C226FE" w:rsidRPr="00E24C3D" w14:paraId="49BA03E0" w14:textId="7B8E353F" w:rsidTr="00AE451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675" w:type="dxa"/>
            <w:vAlign w:val="bottom"/>
          </w:tcPr>
          <w:p w14:paraId="1CB8A780" w14:textId="77777777" w:rsidR="00C226FE" w:rsidRPr="00E24C3D" w:rsidRDefault="00C226FE" w:rsidP="00656AF0">
            <w:pPr>
              <w:pStyle w:val="Table1"/>
            </w:pPr>
            <w:r w:rsidRPr="00E24C3D">
              <w:t>Year</w:t>
            </w:r>
          </w:p>
        </w:tc>
        <w:tc>
          <w:tcPr>
            <w:tcW w:w="675" w:type="dxa"/>
            <w:vAlign w:val="bottom"/>
          </w:tcPr>
          <w:p w14:paraId="72FEA2ED" w14:textId="77777777" w:rsidR="00C226FE" w:rsidRPr="00E24C3D"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E24C3D">
              <w:t>Jan</w:t>
            </w:r>
          </w:p>
        </w:tc>
        <w:tc>
          <w:tcPr>
            <w:tcW w:w="675" w:type="dxa"/>
            <w:vAlign w:val="bottom"/>
          </w:tcPr>
          <w:p w14:paraId="2DBD5E9A" w14:textId="77777777" w:rsidR="00C226FE" w:rsidRPr="00E24C3D"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E24C3D">
              <w:t>Feb</w:t>
            </w:r>
          </w:p>
        </w:tc>
        <w:tc>
          <w:tcPr>
            <w:tcW w:w="675" w:type="dxa"/>
            <w:vAlign w:val="bottom"/>
          </w:tcPr>
          <w:p w14:paraId="54E30133" w14:textId="77777777" w:rsidR="00C226FE" w:rsidRPr="00E24C3D"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E24C3D">
              <w:t>Mar</w:t>
            </w:r>
          </w:p>
        </w:tc>
        <w:tc>
          <w:tcPr>
            <w:tcW w:w="675" w:type="dxa"/>
            <w:vAlign w:val="bottom"/>
          </w:tcPr>
          <w:p w14:paraId="23B1F7C4" w14:textId="77777777" w:rsidR="00C226FE" w:rsidRPr="00E24C3D"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E24C3D">
              <w:t>Apr</w:t>
            </w:r>
          </w:p>
        </w:tc>
        <w:tc>
          <w:tcPr>
            <w:tcW w:w="675" w:type="dxa"/>
            <w:vAlign w:val="bottom"/>
          </w:tcPr>
          <w:p w14:paraId="7D7AE5CD" w14:textId="77777777" w:rsidR="00C226FE" w:rsidRPr="00E24C3D"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E24C3D">
              <w:t>May</w:t>
            </w:r>
          </w:p>
        </w:tc>
        <w:tc>
          <w:tcPr>
            <w:tcW w:w="675" w:type="dxa"/>
            <w:vAlign w:val="bottom"/>
          </w:tcPr>
          <w:p w14:paraId="6ECEF43D" w14:textId="77777777" w:rsidR="00C226FE" w:rsidRPr="00E24C3D"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E24C3D">
              <w:t>Jun</w:t>
            </w:r>
          </w:p>
        </w:tc>
        <w:tc>
          <w:tcPr>
            <w:tcW w:w="675" w:type="dxa"/>
            <w:vAlign w:val="bottom"/>
          </w:tcPr>
          <w:p w14:paraId="147CB14A" w14:textId="77777777" w:rsidR="00C226FE" w:rsidRPr="00E24C3D"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E24C3D">
              <w:t>Jul</w:t>
            </w:r>
          </w:p>
        </w:tc>
        <w:tc>
          <w:tcPr>
            <w:tcW w:w="675" w:type="dxa"/>
            <w:vAlign w:val="bottom"/>
          </w:tcPr>
          <w:p w14:paraId="0EAA115E" w14:textId="77777777" w:rsidR="00C226FE" w:rsidRPr="00E24C3D"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E24C3D">
              <w:t>Aug</w:t>
            </w:r>
          </w:p>
        </w:tc>
        <w:tc>
          <w:tcPr>
            <w:tcW w:w="675" w:type="dxa"/>
            <w:vAlign w:val="bottom"/>
          </w:tcPr>
          <w:p w14:paraId="2D690071" w14:textId="77777777" w:rsidR="00C226FE" w:rsidRPr="00E24C3D"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E24C3D">
              <w:t>Sep</w:t>
            </w:r>
          </w:p>
        </w:tc>
        <w:tc>
          <w:tcPr>
            <w:tcW w:w="675" w:type="dxa"/>
            <w:vAlign w:val="bottom"/>
          </w:tcPr>
          <w:p w14:paraId="3042B8DB" w14:textId="77777777" w:rsidR="00C226FE" w:rsidRPr="00E24C3D"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E24C3D">
              <w:t>Oct</w:t>
            </w:r>
          </w:p>
        </w:tc>
        <w:tc>
          <w:tcPr>
            <w:tcW w:w="675" w:type="dxa"/>
            <w:vAlign w:val="bottom"/>
          </w:tcPr>
          <w:p w14:paraId="0ABA802E" w14:textId="77777777" w:rsidR="00C226FE" w:rsidRPr="00E24C3D"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E24C3D">
              <w:t>Nov</w:t>
            </w:r>
          </w:p>
        </w:tc>
        <w:tc>
          <w:tcPr>
            <w:tcW w:w="675" w:type="dxa"/>
            <w:vAlign w:val="bottom"/>
          </w:tcPr>
          <w:p w14:paraId="2FD4174A" w14:textId="77777777" w:rsidR="00C226FE" w:rsidRPr="00E24C3D"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E24C3D">
              <w:t>Dec</w:t>
            </w:r>
          </w:p>
        </w:tc>
        <w:tc>
          <w:tcPr>
            <w:tcW w:w="831" w:type="dxa"/>
            <w:vAlign w:val="bottom"/>
          </w:tcPr>
          <w:p w14:paraId="768E3CA9" w14:textId="77777777" w:rsidR="00C226FE" w:rsidRDefault="00C226FE" w:rsidP="00656AF0">
            <w:pPr>
              <w:pStyle w:val="Table1"/>
              <w:cnfStyle w:val="100000000000" w:firstRow="1" w:lastRow="0" w:firstColumn="0" w:lastColumn="0" w:oddVBand="0" w:evenVBand="0" w:oddHBand="0" w:evenHBand="0" w:firstRowFirstColumn="0" w:firstRowLastColumn="0" w:lastRowFirstColumn="0" w:lastRowLastColumn="0"/>
              <w:rPr>
                <w:b w:val="0"/>
                <w:bCs w:val="0"/>
              </w:rPr>
            </w:pPr>
            <w:r w:rsidRPr="00E24C3D">
              <w:t>Annual</w:t>
            </w:r>
          </w:p>
        </w:tc>
        <w:tc>
          <w:tcPr>
            <w:tcW w:w="831" w:type="dxa"/>
          </w:tcPr>
          <w:p w14:paraId="199DB730" w14:textId="53E00D76" w:rsidR="00C226FE" w:rsidRPr="00E24C3D" w:rsidRDefault="00C226FE" w:rsidP="00656AF0">
            <w:pPr>
              <w:pStyle w:val="Table1"/>
              <w:cnfStyle w:val="100000000000" w:firstRow="1" w:lastRow="0" w:firstColumn="0" w:lastColumn="0" w:oddVBand="0" w:evenVBand="0" w:oddHBand="0" w:evenHBand="0" w:firstRowFirstColumn="0" w:firstRowLastColumn="0" w:lastRowFirstColumn="0" w:lastRowLastColumn="0"/>
            </w:pPr>
            <w:r>
              <w:t>Winter PRM</w:t>
            </w:r>
          </w:p>
        </w:tc>
      </w:tr>
      <w:tr w:rsidR="00C226FE" w:rsidRPr="0089011E" w14:paraId="176FAA00" w14:textId="5289654F" w:rsidTr="00AE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bottom"/>
          </w:tcPr>
          <w:p w14:paraId="0033722F" w14:textId="77777777" w:rsidR="00C226FE" w:rsidRPr="00A5067F" w:rsidRDefault="00C226FE" w:rsidP="00656AF0">
            <w:pPr>
              <w:pStyle w:val="Table1"/>
            </w:pPr>
            <w:r w:rsidRPr="00A5067F">
              <w:t>2014</w:t>
            </w:r>
          </w:p>
        </w:tc>
        <w:tc>
          <w:tcPr>
            <w:tcW w:w="675" w:type="dxa"/>
          </w:tcPr>
          <w:p w14:paraId="50B02554"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0.005</w:t>
            </w:r>
          </w:p>
        </w:tc>
        <w:tc>
          <w:tcPr>
            <w:tcW w:w="675" w:type="dxa"/>
          </w:tcPr>
          <w:p w14:paraId="1094E076"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0.000</w:t>
            </w:r>
          </w:p>
        </w:tc>
        <w:tc>
          <w:tcPr>
            <w:tcW w:w="675" w:type="dxa"/>
          </w:tcPr>
          <w:p w14:paraId="3A73C1AB"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0.004</w:t>
            </w:r>
          </w:p>
        </w:tc>
        <w:tc>
          <w:tcPr>
            <w:tcW w:w="675" w:type="dxa"/>
          </w:tcPr>
          <w:p w14:paraId="05D99CCF"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0.000</w:t>
            </w:r>
          </w:p>
        </w:tc>
        <w:tc>
          <w:tcPr>
            <w:tcW w:w="675" w:type="dxa"/>
          </w:tcPr>
          <w:p w14:paraId="086162F5"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1B1DF57F"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0.001</w:t>
            </w:r>
          </w:p>
        </w:tc>
        <w:tc>
          <w:tcPr>
            <w:tcW w:w="675" w:type="dxa"/>
          </w:tcPr>
          <w:p w14:paraId="675FCE38"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0.001</w:t>
            </w:r>
          </w:p>
        </w:tc>
        <w:tc>
          <w:tcPr>
            <w:tcW w:w="675" w:type="dxa"/>
          </w:tcPr>
          <w:p w14:paraId="61772650"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3305C173"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7EDB3250"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3A262997"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0.032</w:t>
            </w:r>
          </w:p>
        </w:tc>
        <w:tc>
          <w:tcPr>
            <w:tcW w:w="675" w:type="dxa"/>
          </w:tcPr>
          <w:p w14:paraId="65164984"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831" w:type="dxa"/>
          </w:tcPr>
          <w:p w14:paraId="230F279E"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0.043</w:t>
            </w:r>
          </w:p>
        </w:tc>
        <w:tc>
          <w:tcPr>
            <w:tcW w:w="831" w:type="dxa"/>
            <w:vAlign w:val="bottom"/>
          </w:tcPr>
          <w:p w14:paraId="7C005C5D" w14:textId="6C0950BD"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Pr>
                <w:rFonts w:cs="Arial"/>
                <w:sz w:val="20"/>
                <w:szCs w:val="20"/>
              </w:rPr>
              <w:t>23%</w:t>
            </w:r>
          </w:p>
        </w:tc>
      </w:tr>
      <w:tr w:rsidR="00C226FE" w:rsidRPr="0089011E" w14:paraId="65AAF37A" w14:textId="34E465BB" w:rsidTr="00AE4516">
        <w:tc>
          <w:tcPr>
            <w:cnfStyle w:val="001000000000" w:firstRow="0" w:lastRow="0" w:firstColumn="1" w:lastColumn="0" w:oddVBand="0" w:evenVBand="0" w:oddHBand="0" w:evenHBand="0" w:firstRowFirstColumn="0" w:firstRowLastColumn="0" w:lastRowFirstColumn="0" w:lastRowLastColumn="0"/>
            <w:tcW w:w="675" w:type="dxa"/>
            <w:vAlign w:val="bottom"/>
          </w:tcPr>
          <w:p w14:paraId="31D96E0F" w14:textId="77777777" w:rsidR="00C226FE" w:rsidRPr="00A5067F" w:rsidRDefault="00C226FE" w:rsidP="00656AF0">
            <w:pPr>
              <w:pStyle w:val="Table1"/>
            </w:pPr>
            <w:r w:rsidRPr="00A5067F">
              <w:t>2015</w:t>
            </w:r>
          </w:p>
        </w:tc>
        <w:tc>
          <w:tcPr>
            <w:tcW w:w="675" w:type="dxa"/>
          </w:tcPr>
          <w:p w14:paraId="7D6007CB"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0.025</w:t>
            </w:r>
          </w:p>
        </w:tc>
        <w:tc>
          <w:tcPr>
            <w:tcW w:w="675" w:type="dxa"/>
          </w:tcPr>
          <w:p w14:paraId="6817E87C"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0.002</w:t>
            </w:r>
          </w:p>
        </w:tc>
        <w:tc>
          <w:tcPr>
            <w:tcW w:w="675" w:type="dxa"/>
          </w:tcPr>
          <w:p w14:paraId="783ED30E"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0.016</w:t>
            </w:r>
          </w:p>
        </w:tc>
        <w:tc>
          <w:tcPr>
            <w:tcW w:w="675" w:type="dxa"/>
          </w:tcPr>
          <w:p w14:paraId="1D33C383"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0.000</w:t>
            </w:r>
          </w:p>
        </w:tc>
        <w:tc>
          <w:tcPr>
            <w:tcW w:w="675" w:type="dxa"/>
          </w:tcPr>
          <w:p w14:paraId="65E04324"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677CB203"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0.001</w:t>
            </w:r>
          </w:p>
        </w:tc>
        <w:tc>
          <w:tcPr>
            <w:tcW w:w="675" w:type="dxa"/>
          </w:tcPr>
          <w:p w14:paraId="35C6198C"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0BCEDE63"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1A363D3B"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2DD7BBEE"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4851557A"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7349161D"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0.003</w:t>
            </w:r>
          </w:p>
        </w:tc>
        <w:tc>
          <w:tcPr>
            <w:tcW w:w="831" w:type="dxa"/>
          </w:tcPr>
          <w:p w14:paraId="55E24CD9"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0.047</w:t>
            </w:r>
          </w:p>
        </w:tc>
        <w:tc>
          <w:tcPr>
            <w:tcW w:w="831" w:type="dxa"/>
            <w:vAlign w:val="bottom"/>
          </w:tcPr>
          <w:p w14:paraId="391F79D8" w14:textId="3C6B4BDC"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Pr>
                <w:rFonts w:cs="Arial"/>
                <w:sz w:val="20"/>
                <w:szCs w:val="20"/>
              </w:rPr>
              <w:t>26%</w:t>
            </w:r>
          </w:p>
        </w:tc>
      </w:tr>
      <w:tr w:rsidR="00C226FE" w:rsidRPr="0089011E" w14:paraId="64C91A7D" w14:textId="0792352E" w:rsidTr="00AE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bottom"/>
          </w:tcPr>
          <w:p w14:paraId="6A4B7692" w14:textId="77777777" w:rsidR="00C226FE" w:rsidRPr="00A5067F" w:rsidRDefault="00C226FE" w:rsidP="00656AF0">
            <w:pPr>
              <w:pStyle w:val="Table1"/>
            </w:pPr>
            <w:r w:rsidRPr="00A5067F">
              <w:t>2016</w:t>
            </w:r>
          </w:p>
        </w:tc>
        <w:tc>
          <w:tcPr>
            <w:tcW w:w="675" w:type="dxa"/>
          </w:tcPr>
          <w:p w14:paraId="6C10A46A"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0.027</w:t>
            </w:r>
          </w:p>
        </w:tc>
        <w:tc>
          <w:tcPr>
            <w:tcW w:w="675" w:type="dxa"/>
          </w:tcPr>
          <w:p w14:paraId="55806D7E"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0.000</w:t>
            </w:r>
          </w:p>
        </w:tc>
        <w:tc>
          <w:tcPr>
            <w:tcW w:w="675" w:type="dxa"/>
          </w:tcPr>
          <w:p w14:paraId="3AF565B2"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0.000</w:t>
            </w:r>
          </w:p>
        </w:tc>
        <w:tc>
          <w:tcPr>
            <w:tcW w:w="675" w:type="dxa"/>
          </w:tcPr>
          <w:p w14:paraId="734B3F38"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0.000</w:t>
            </w:r>
          </w:p>
        </w:tc>
        <w:tc>
          <w:tcPr>
            <w:tcW w:w="675" w:type="dxa"/>
          </w:tcPr>
          <w:p w14:paraId="28C53437"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3070F8F9"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0.002</w:t>
            </w:r>
          </w:p>
        </w:tc>
        <w:tc>
          <w:tcPr>
            <w:tcW w:w="675" w:type="dxa"/>
          </w:tcPr>
          <w:p w14:paraId="790C3DDF"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65AE96E9"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75E04F12"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39464AFE"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58B7CA03"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1DCDC9D5"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0.002</w:t>
            </w:r>
          </w:p>
        </w:tc>
        <w:tc>
          <w:tcPr>
            <w:tcW w:w="831" w:type="dxa"/>
          </w:tcPr>
          <w:p w14:paraId="7AC4A3B4"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0.031</w:t>
            </w:r>
          </w:p>
        </w:tc>
        <w:tc>
          <w:tcPr>
            <w:tcW w:w="831" w:type="dxa"/>
            <w:vAlign w:val="bottom"/>
          </w:tcPr>
          <w:p w14:paraId="0F0ED3CC" w14:textId="7B4A11A8"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Pr>
                <w:rFonts w:cs="Arial"/>
                <w:sz w:val="20"/>
                <w:szCs w:val="20"/>
              </w:rPr>
              <w:t>25%</w:t>
            </w:r>
          </w:p>
        </w:tc>
      </w:tr>
      <w:tr w:rsidR="00C226FE" w:rsidRPr="0089011E" w14:paraId="0390F828" w14:textId="46DFE16C" w:rsidTr="00AE4516">
        <w:tc>
          <w:tcPr>
            <w:cnfStyle w:val="001000000000" w:firstRow="0" w:lastRow="0" w:firstColumn="1" w:lastColumn="0" w:oddVBand="0" w:evenVBand="0" w:oddHBand="0" w:evenHBand="0" w:firstRowFirstColumn="0" w:firstRowLastColumn="0" w:lastRowFirstColumn="0" w:lastRowLastColumn="0"/>
            <w:tcW w:w="675" w:type="dxa"/>
            <w:vAlign w:val="bottom"/>
          </w:tcPr>
          <w:p w14:paraId="120A0F0B" w14:textId="77777777" w:rsidR="00C226FE" w:rsidRPr="00A5067F" w:rsidRDefault="00C226FE" w:rsidP="00656AF0">
            <w:pPr>
              <w:pStyle w:val="Table1"/>
            </w:pPr>
            <w:r w:rsidRPr="00A5067F">
              <w:t>2017</w:t>
            </w:r>
          </w:p>
        </w:tc>
        <w:tc>
          <w:tcPr>
            <w:tcW w:w="675" w:type="dxa"/>
          </w:tcPr>
          <w:p w14:paraId="26EFE679"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0.021</w:t>
            </w:r>
          </w:p>
        </w:tc>
        <w:tc>
          <w:tcPr>
            <w:tcW w:w="675" w:type="dxa"/>
          </w:tcPr>
          <w:p w14:paraId="5C6982C0"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0.000</w:t>
            </w:r>
          </w:p>
        </w:tc>
        <w:tc>
          <w:tcPr>
            <w:tcW w:w="675" w:type="dxa"/>
          </w:tcPr>
          <w:p w14:paraId="56C9F4F0"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0.001</w:t>
            </w:r>
          </w:p>
        </w:tc>
        <w:tc>
          <w:tcPr>
            <w:tcW w:w="675" w:type="dxa"/>
          </w:tcPr>
          <w:p w14:paraId="1CC67853"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0.000</w:t>
            </w:r>
          </w:p>
        </w:tc>
        <w:tc>
          <w:tcPr>
            <w:tcW w:w="675" w:type="dxa"/>
          </w:tcPr>
          <w:p w14:paraId="0502D987"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595FCD8F"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0.002</w:t>
            </w:r>
          </w:p>
        </w:tc>
        <w:tc>
          <w:tcPr>
            <w:tcW w:w="675" w:type="dxa"/>
          </w:tcPr>
          <w:p w14:paraId="4B5DC5A9"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0.001</w:t>
            </w:r>
          </w:p>
        </w:tc>
        <w:tc>
          <w:tcPr>
            <w:tcW w:w="675" w:type="dxa"/>
          </w:tcPr>
          <w:p w14:paraId="6774AEA5"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025CF05F"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427E2CBA"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7D86A898"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31FEDBEF"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0.002</w:t>
            </w:r>
          </w:p>
        </w:tc>
        <w:tc>
          <w:tcPr>
            <w:tcW w:w="831" w:type="dxa"/>
          </w:tcPr>
          <w:p w14:paraId="19483E76"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0.027</w:t>
            </w:r>
          </w:p>
        </w:tc>
        <w:tc>
          <w:tcPr>
            <w:tcW w:w="831" w:type="dxa"/>
            <w:vAlign w:val="bottom"/>
          </w:tcPr>
          <w:p w14:paraId="15D7BB70" w14:textId="639458F5"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Pr>
                <w:rFonts w:cs="Arial"/>
                <w:sz w:val="20"/>
                <w:szCs w:val="20"/>
              </w:rPr>
              <w:t>25%</w:t>
            </w:r>
          </w:p>
        </w:tc>
      </w:tr>
      <w:tr w:rsidR="00C226FE" w:rsidRPr="0089011E" w14:paraId="5FC59644" w14:textId="103E6AF1" w:rsidTr="00AE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bottom"/>
          </w:tcPr>
          <w:p w14:paraId="6B8CCE5A" w14:textId="77777777" w:rsidR="00C226FE" w:rsidRPr="00A5067F" w:rsidRDefault="00C226FE" w:rsidP="00656AF0">
            <w:pPr>
              <w:pStyle w:val="Table1"/>
            </w:pPr>
            <w:r w:rsidRPr="00A5067F">
              <w:t>2018</w:t>
            </w:r>
          </w:p>
        </w:tc>
        <w:tc>
          <w:tcPr>
            <w:tcW w:w="675" w:type="dxa"/>
          </w:tcPr>
          <w:p w14:paraId="13D538E7"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0.038</w:t>
            </w:r>
          </w:p>
        </w:tc>
        <w:tc>
          <w:tcPr>
            <w:tcW w:w="675" w:type="dxa"/>
          </w:tcPr>
          <w:p w14:paraId="75F4A01A"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0.000</w:t>
            </w:r>
          </w:p>
        </w:tc>
        <w:tc>
          <w:tcPr>
            <w:tcW w:w="675" w:type="dxa"/>
          </w:tcPr>
          <w:p w14:paraId="44AEE966"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0.000</w:t>
            </w:r>
          </w:p>
        </w:tc>
        <w:tc>
          <w:tcPr>
            <w:tcW w:w="675" w:type="dxa"/>
          </w:tcPr>
          <w:p w14:paraId="053CD3E3"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0.002</w:t>
            </w:r>
          </w:p>
        </w:tc>
        <w:tc>
          <w:tcPr>
            <w:tcW w:w="675" w:type="dxa"/>
          </w:tcPr>
          <w:p w14:paraId="0999592D"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0.002</w:t>
            </w:r>
          </w:p>
        </w:tc>
        <w:tc>
          <w:tcPr>
            <w:tcW w:w="675" w:type="dxa"/>
          </w:tcPr>
          <w:p w14:paraId="5AFEBF2E"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0.005</w:t>
            </w:r>
          </w:p>
        </w:tc>
        <w:tc>
          <w:tcPr>
            <w:tcW w:w="675" w:type="dxa"/>
          </w:tcPr>
          <w:p w14:paraId="79F92B83"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0.001</w:t>
            </w:r>
          </w:p>
        </w:tc>
        <w:tc>
          <w:tcPr>
            <w:tcW w:w="675" w:type="dxa"/>
          </w:tcPr>
          <w:p w14:paraId="67073EB1"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1BFD011E"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54209631"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012EBBC8"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0.010</w:t>
            </w:r>
          </w:p>
        </w:tc>
        <w:tc>
          <w:tcPr>
            <w:tcW w:w="675" w:type="dxa"/>
          </w:tcPr>
          <w:p w14:paraId="78E6A34C"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0.001</w:t>
            </w:r>
          </w:p>
        </w:tc>
        <w:tc>
          <w:tcPr>
            <w:tcW w:w="831" w:type="dxa"/>
          </w:tcPr>
          <w:p w14:paraId="43138AEE"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0.059</w:t>
            </w:r>
          </w:p>
        </w:tc>
        <w:tc>
          <w:tcPr>
            <w:tcW w:w="831" w:type="dxa"/>
            <w:vAlign w:val="bottom"/>
          </w:tcPr>
          <w:p w14:paraId="45995C51" w14:textId="4D25A3D1"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Pr>
                <w:rFonts w:cs="Arial"/>
                <w:sz w:val="20"/>
                <w:szCs w:val="20"/>
              </w:rPr>
              <w:t>24%</w:t>
            </w:r>
          </w:p>
        </w:tc>
      </w:tr>
      <w:tr w:rsidR="00C226FE" w:rsidRPr="0089011E" w14:paraId="4FFDACD0" w14:textId="2777752E" w:rsidTr="00AE4516">
        <w:tc>
          <w:tcPr>
            <w:cnfStyle w:val="001000000000" w:firstRow="0" w:lastRow="0" w:firstColumn="1" w:lastColumn="0" w:oddVBand="0" w:evenVBand="0" w:oddHBand="0" w:evenHBand="0" w:firstRowFirstColumn="0" w:firstRowLastColumn="0" w:lastRowFirstColumn="0" w:lastRowLastColumn="0"/>
            <w:tcW w:w="675" w:type="dxa"/>
            <w:vAlign w:val="bottom"/>
          </w:tcPr>
          <w:p w14:paraId="3A228552" w14:textId="77777777" w:rsidR="00C226FE" w:rsidRPr="00A5067F" w:rsidRDefault="00C226FE" w:rsidP="00656AF0">
            <w:pPr>
              <w:pStyle w:val="Table1"/>
            </w:pPr>
            <w:r w:rsidRPr="00A5067F">
              <w:t>2019</w:t>
            </w:r>
          </w:p>
        </w:tc>
        <w:tc>
          <w:tcPr>
            <w:tcW w:w="675" w:type="dxa"/>
          </w:tcPr>
          <w:p w14:paraId="596173BA"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0.057</w:t>
            </w:r>
          </w:p>
        </w:tc>
        <w:tc>
          <w:tcPr>
            <w:tcW w:w="675" w:type="dxa"/>
          </w:tcPr>
          <w:p w14:paraId="0AA197B7"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0.000</w:t>
            </w:r>
          </w:p>
        </w:tc>
        <w:tc>
          <w:tcPr>
            <w:tcW w:w="675" w:type="dxa"/>
          </w:tcPr>
          <w:p w14:paraId="74460598"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0.000</w:t>
            </w:r>
          </w:p>
        </w:tc>
        <w:tc>
          <w:tcPr>
            <w:tcW w:w="675" w:type="dxa"/>
          </w:tcPr>
          <w:p w14:paraId="3D518850"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0.000</w:t>
            </w:r>
          </w:p>
        </w:tc>
        <w:tc>
          <w:tcPr>
            <w:tcW w:w="675" w:type="dxa"/>
          </w:tcPr>
          <w:p w14:paraId="7BE734B5"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6FDE072D"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0.005</w:t>
            </w:r>
          </w:p>
        </w:tc>
        <w:tc>
          <w:tcPr>
            <w:tcW w:w="675" w:type="dxa"/>
          </w:tcPr>
          <w:p w14:paraId="33C63A44"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0.002</w:t>
            </w:r>
          </w:p>
        </w:tc>
        <w:tc>
          <w:tcPr>
            <w:tcW w:w="675" w:type="dxa"/>
          </w:tcPr>
          <w:p w14:paraId="56B6125A"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21EAE3C2"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4B3053E1"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180EC6BE"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0.008</w:t>
            </w:r>
          </w:p>
        </w:tc>
        <w:tc>
          <w:tcPr>
            <w:tcW w:w="675" w:type="dxa"/>
          </w:tcPr>
          <w:p w14:paraId="09EB1F00"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0.003</w:t>
            </w:r>
          </w:p>
        </w:tc>
        <w:tc>
          <w:tcPr>
            <w:tcW w:w="831" w:type="dxa"/>
          </w:tcPr>
          <w:p w14:paraId="1C10EA6A"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0.075</w:t>
            </w:r>
          </w:p>
        </w:tc>
        <w:tc>
          <w:tcPr>
            <w:tcW w:w="831" w:type="dxa"/>
            <w:vAlign w:val="bottom"/>
          </w:tcPr>
          <w:p w14:paraId="2CD732D0" w14:textId="380A6996"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Pr>
                <w:rFonts w:cs="Arial"/>
                <w:sz w:val="20"/>
                <w:szCs w:val="20"/>
              </w:rPr>
              <w:t>24%</w:t>
            </w:r>
          </w:p>
        </w:tc>
      </w:tr>
      <w:tr w:rsidR="00C226FE" w:rsidRPr="0089011E" w14:paraId="78F3629E" w14:textId="56C52BE1" w:rsidTr="00AE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bottom"/>
          </w:tcPr>
          <w:p w14:paraId="51DB8C44" w14:textId="77777777" w:rsidR="00C226FE" w:rsidRPr="00A5067F" w:rsidRDefault="00C226FE" w:rsidP="00656AF0">
            <w:pPr>
              <w:pStyle w:val="Table1"/>
            </w:pPr>
            <w:r w:rsidRPr="00A5067F">
              <w:t>2020</w:t>
            </w:r>
          </w:p>
        </w:tc>
        <w:tc>
          <w:tcPr>
            <w:tcW w:w="675" w:type="dxa"/>
          </w:tcPr>
          <w:p w14:paraId="6EA0EB56"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0.030</w:t>
            </w:r>
          </w:p>
        </w:tc>
        <w:tc>
          <w:tcPr>
            <w:tcW w:w="675" w:type="dxa"/>
          </w:tcPr>
          <w:p w14:paraId="2E712BE4"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0.001</w:t>
            </w:r>
          </w:p>
        </w:tc>
        <w:tc>
          <w:tcPr>
            <w:tcW w:w="675" w:type="dxa"/>
          </w:tcPr>
          <w:p w14:paraId="46ADA82A"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0.000</w:t>
            </w:r>
          </w:p>
        </w:tc>
        <w:tc>
          <w:tcPr>
            <w:tcW w:w="675" w:type="dxa"/>
          </w:tcPr>
          <w:p w14:paraId="0F192109"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0.004</w:t>
            </w:r>
          </w:p>
        </w:tc>
        <w:tc>
          <w:tcPr>
            <w:tcW w:w="675" w:type="dxa"/>
          </w:tcPr>
          <w:p w14:paraId="52151E93"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0.003</w:t>
            </w:r>
          </w:p>
        </w:tc>
        <w:tc>
          <w:tcPr>
            <w:tcW w:w="675" w:type="dxa"/>
          </w:tcPr>
          <w:p w14:paraId="0F42D21C"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0.007</w:t>
            </w:r>
          </w:p>
        </w:tc>
        <w:tc>
          <w:tcPr>
            <w:tcW w:w="675" w:type="dxa"/>
          </w:tcPr>
          <w:p w14:paraId="11833472"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0.001</w:t>
            </w:r>
          </w:p>
        </w:tc>
        <w:tc>
          <w:tcPr>
            <w:tcW w:w="675" w:type="dxa"/>
          </w:tcPr>
          <w:p w14:paraId="717FBCB2"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4C76FD36"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0BDCE6E6"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3492B6B5"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7B781D95"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0.001</w:t>
            </w:r>
          </w:p>
        </w:tc>
        <w:tc>
          <w:tcPr>
            <w:tcW w:w="831" w:type="dxa"/>
          </w:tcPr>
          <w:p w14:paraId="4A13E98B"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0.047</w:t>
            </w:r>
          </w:p>
        </w:tc>
        <w:tc>
          <w:tcPr>
            <w:tcW w:w="831" w:type="dxa"/>
            <w:vAlign w:val="bottom"/>
          </w:tcPr>
          <w:p w14:paraId="65313A2B" w14:textId="02815F1C"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Pr>
                <w:rFonts w:cs="Arial"/>
                <w:sz w:val="20"/>
                <w:szCs w:val="20"/>
              </w:rPr>
              <w:t>24%</w:t>
            </w:r>
          </w:p>
        </w:tc>
      </w:tr>
      <w:tr w:rsidR="00C226FE" w:rsidRPr="0089011E" w14:paraId="73A0DB11" w14:textId="2C915EE3" w:rsidTr="00AE4516">
        <w:trPr>
          <w:trHeight w:val="357"/>
        </w:trPr>
        <w:tc>
          <w:tcPr>
            <w:cnfStyle w:val="001000000000" w:firstRow="0" w:lastRow="0" w:firstColumn="1" w:lastColumn="0" w:oddVBand="0" w:evenVBand="0" w:oddHBand="0" w:evenHBand="0" w:firstRowFirstColumn="0" w:firstRowLastColumn="0" w:lastRowFirstColumn="0" w:lastRowLastColumn="0"/>
            <w:tcW w:w="675" w:type="dxa"/>
          </w:tcPr>
          <w:p w14:paraId="2C1B4188" w14:textId="77777777" w:rsidR="00C226FE" w:rsidRPr="00A5067F" w:rsidRDefault="00C226FE" w:rsidP="00656AF0">
            <w:pPr>
              <w:pStyle w:val="Table1"/>
            </w:pPr>
            <w:r w:rsidRPr="00A5067F">
              <w:t>2021</w:t>
            </w:r>
          </w:p>
        </w:tc>
        <w:tc>
          <w:tcPr>
            <w:tcW w:w="675" w:type="dxa"/>
          </w:tcPr>
          <w:p w14:paraId="2CADDB3E"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0.047</w:t>
            </w:r>
          </w:p>
        </w:tc>
        <w:tc>
          <w:tcPr>
            <w:tcW w:w="675" w:type="dxa"/>
          </w:tcPr>
          <w:p w14:paraId="24C0B563"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0.000</w:t>
            </w:r>
          </w:p>
        </w:tc>
        <w:tc>
          <w:tcPr>
            <w:tcW w:w="675" w:type="dxa"/>
          </w:tcPr>
          <w:p w14:paraId="0FFB64F8"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3A5D34F1"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24C4D9E5"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0.001</w:t>
            </w:r>
          </w:p>
        </w:tc>
        <w:tc>
          <w:tcPr>
            <w:tcW w:w="675" w:type="dxa"/>
          </w:tcPr>
          <w:p w14:paraId="2EE7DF96"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0.009</w:t>
            </w:r>
          </w:p>
        </w:tc>
        <w:tc>
          <w:tcPr>
            <w:tcW w:w="675" w:type="dxa"/>
          </w:tcPr>
          <w:p w14:paraId="10795C94"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0.001</w:t>
            </w:r>
          </w:p>
        </w:tc>
        <w:tc>
          <w:tcPr>
            <w:tcW w:w="675" w:type="dxa"/>
          </w:tcPr>
          <w:p w14:paraId="1AE16080"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533FD3F5"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52B34674"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42A2B1EC"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0.010</w:t>
            </w:r>
          </w:p>
        </w:tc>
        <w:tc>
          <w:tcPr>
            <w:tcW w:w="675" w:type="dxa"/>
          </w:tcPr>
          <w:p w14:paraId="76908625"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0.005</w:t>
            </w:r>
          </w:p>
        </w:tc>
        <w:tc>
          <w:tcPr>
            <w:tcW w:w="831" w:type="dxa"/>
          </w:tcPr>
          <w:p w14:paraId="21772A5C"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0.073</w:t>
            </w:r>
          </w:p>
        </w:tc>
        <w:tc>
          <w:tcPr>
            <w:tcW w:w="831" w:type="dxa"/>
            <w:vAlign w:val="bottom"/>
          </w:tcPr>
          <w:p w14:paraId="5FF1E715" w14:textId="382A70D1"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Pr>
                <w:rFonts w:cs="Arial"/>
                <w:sz w:val="20"/>
                <w:szCs w:val="20"/>
              </w:rPr>
              <w:t>23%</w:t>
            </w:r>
          </w:p>
        </w:tc>
      </w:tr>
      <w:tr w:rsidR="00C226FE" w:rsidRPr="0089011E" w14:paraId="3C796BD7" w14:textId="5E3AE871" w:rsidTr="00AE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7D011E99" w14:textId="77777777" w:rsidR="00C226FE" w:rsidRPr="00A5067F" w:rsidRDefault="00C226FE" w:rsidP="00656AF0">
            <w:pPr>
              <w:pStyle w:val="Table1"/>
            </w:pPr>
            <w:r w:rsidRPr="00A5067F">
              <w:t>2022</w:t>
            </w:r>
          </w:p>
        </w:tc>
        <w:tc>
          <w:tcPr>
            <w:tcW w:w="675" w:type="dxa"/>
          </w:tcPr>
          <w:p w14:paraId="2EFFC480"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0.089</w:t>
            </w:r>
          </w:p>
        </w:tc>
        <w:tc>
          <w:tcPr>
            <w:tcW w:w="675" w:type="dxa"/>
          </w:tcPr>
          <w:p w14:paraId="25223227"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0.000</w:t>
            </w:r>
          </w:p>
        </w:tc>
        <w:tc>
          <w:tcPr>
            <w:tcW w:w="675" w:type="dxa"/>
          </w:tcPr>
          <w:p w14:paraId="2BEAB8DE"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0.000</w:t>
            </w:r>
          </w:p>
        </w:tc>
        <w:tc>
          <w:tcPr>
            <w:tcW w:w="675" w:type="dxa"/>
          </w:tcPr>
          <w:p w14:paraId="66C2E70D"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5E26C5B9"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0.003</w:t>
            </w:r>
          </w:p>
        </w:tc>
        <w:tc>
          <w:tcPr>
            <w:tcW w:w="675" w:type="dxa"/>
          </w:tcPr>
          <w:p w14:paraId="107C288C"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0.004</w:t>
            </w:r>
          </w:p>
        </w:tc>
        <w:tc>
          <w:tcPr>
            <w:tcW w:w="675" w:type="dxa"/>
          </w:tcPr>
          <w:p w14:paraId="062C2A47"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0.002</w:t>
            </w:r>
          </w:p>
        </w:tc>
        <w:tc>
          <w:tcPr>
            <w:tcW w:w="675" w:type="dxa"/>
          </w:tcPr>
          <w:p w14:paraId="675E87BC"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308A1C00"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3D610AA3"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4EE1D280"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0.007</w:t>
            </w:r>
          </w:p>
        </w:tc>
        <w:tc>
          <w:tcPr>
            <w:tcW w:w="675" w:type="dxa"/>
          </w:tcPr>
          <w:p w14:paraId="485556AF"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0.006</w:t>
            </w:r>
          </w:p>
        </w:tc>
        <w:tc>
          <w:tcPr>
            <w:tcW w:w="831" w:type="dxa"/>
          </w:tcPr>
          <w:p w14:paraId="0CEB5DC8"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0.111</w:t>
            </w:r>
          </w:p>
        </w:tc>
        <w:tc>
          <w:tcPr>
            <w:tcW w:w="831" w:type="dxa"/>
            <w:vAlign w:val="bottom"/>
          </w:tcPr>
          <w:p w14:paraId="14F432C3" w14:textId="4F36CBE2"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Pr>
                <w:rFonts w:cs="Arial"/>
                <w:sz w:val="20"/>
                <w:szCs w:val="20"/>
              </w:rPr>
              <w:t>22%</w:t>
            </w:r>
          </w:p>
        </w:tc>
      </w:tr>
      <w:tr w:rsidR="00C226FE" w:rsidRPr="0089011E" w14:paraId="300AF9EE" w14:textId="774C120B" w:rsidTr="00AE4516">
        <w:tc>
          <w:tcPr>
            <w:cnfStyle w:val="001000000000" w:firstRow="0" w:lastRow="0" w:firstColumn="1" w:lastColumn="0" w:oddVBand="0" w:evenVBand="0" w:oddHBand="0" w:evenHBand="0" w:firstRowFirstColumn="0" w:firstRowLastColumn="0" w:lastRowFirstColumn="0" w:lastRowLastColumn="0"/>
            <w:tcW w:w="675" w:type="dxa"/>
          </w:tcPr>
          <w:p w14:paraId="192AFB10" w14:textId="77777777" w:rsidR="00C226FE" w:rsidRPr="00A5067F" w:rsidRDefault="00C226FE" w:rsidP="00656AF0">
            <w:pPr>
              <w:pStyle w:val="Table1"/>
            </w:pPr>
            <w:r w:rsidRPr="00A5067F">
              <w:t>2023</w:t>
            </w:r>
          </w:p>
        </w:tc>
        <w:tc>
          <w:tcPr>
            <w:tcW w:w="675" w:type="dxa"/>
          </w:tcPr>
          <w:p w14:paraId="20EE5421"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0.133</w:t>
            </w:r>
          </w:p>
        </w:tc>
        <w:tc>
          <w:tcPr>
            <w:tcW w:w="675" w:type="dxa"/>
          </w:tcPr>
          <w:p w14:paraId="721E3C1E"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0.000</w:t>
            </w:r>
          </w:p>
        </w:tc>
        <w:tc>
          <w:tcPr>
            <w:tcW w:w="675" w:type="dxa"/>
          </w:tcPr>
          <w:p w14:paraId="0CF54BB4"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0.001</w:t>
            </w:r>
          </w:p>
        </w:tc>
        <w:tc>
          <w:tcPr>
            <w:tcW w:w="675" w:type="dxa"/>
          </w:tcPr>
          <w:p w14:paraId="3965F528"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0.002</w:t>
            </w:r>
          </w:p>
        </w:tc>
        <w:tc>
          <w:tcPr>
            <w:tcW w:w="675" w:type="dxa"/>
          </w:tcPr>
          <w:p w14:paraId="177AE549"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0.002</w:t>
            </w:r>
          </w:p>
        </w:tc>
        <w:tc>
          <w:tcPr>
            <w:tcW w:w="675" w:type="dxa"/>
          </w:tcPr>
          <w:p w14:paraId="60BAEE9E"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0.004</w:t>
            </w:r>
          </w:p>
        </w:tc>
        <w:tc>
          <w:tcPr>
            <w:tcW w:w="675" w:type="dxa"/>
          </w:tcPr>
          <w:p w14:paraId="7E612013"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6F1882B1"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1A5AC201"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26D16407"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49F714D8"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0.008</w:t>
            </w:r>
          </w:p>
        </w:tc>
        <w:tc>
          <w:tcPr>
            <w:tcW w:w="675" w:type="dxa"/>
          </w:tcPr>
          <w:p w14:paraId="26E77411"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0.010</w:t>
            </w:r>
          </w:p>
        </w:tc>
        <w:tc>
          <w:tcPr>
            <w:tcW w:w="831" w:type="dxa"/>
          </w:tcPr>
          <w:p w14:paraId="185C829A"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0.160</w:t>
            </w:r>
          </w:p>
        </w:tc>
        <w:tc>
          <w:tcPr>
            <w:tcW w:w="831" w:type="dxa"/>
            <w:vAlign w:val="bottom"/>
          </w:tcPr>
          <w:p w14:paraId="3C5D1A78" w14:textId="0438724D"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Pr>
                <w:rFonts w:cs="Arial"/>
                <w:sz w:val="20"/>
                <w:szCs w:val="20"/>
              </w:rPr>
              <w:t>22%</w:t>
            </w:r>
          </w:p>
        </w:tc>
      </w:tr>
      <w:tr w:rsidR="00C226FE" w:rsidRPr="0089011E" w14:paraId="3A7FB8C7" w14:textId="5ACD4BC7" w:rsidTr="00AE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14:paraId="3022EAD7" w14:textId="77777777" w:rsidR="00C226FE" w:rsidRPr="00A5067F" w:rsidRDefault="00C226FE" w:rsidP="00656AF0">
            <w:pPr>
              <w:pStyle w:val="Table1"/>
            </w:pPr>
            <w:r w:rsidRPr="00A5067F">
              <w:t>2024</w:t>
            </w:r>
          </w:p>
        </w:tc>
        <w:tc>
          <w:tcPr>
            <w:tcW w:w="675" w:type="dxa"/>
          </w:tcPr>
          <w:p w14:paraId="4698099B"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0.070</w:t>
            </w:r>
          </w:p>
        </w:tc>
        <w:tc>
          <w:tcPr>
            <w:tcW w:w="675" w:type="dxa"/>
          </w:tcPr>
          <w:p w14:paraId="51B54E6F"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0.000</w:t>
            </w:r>
          </w:p>
        </w:tc>
        <w:tc>
          <w:tcPr>
            <w:tcW w:w="675" w:type="dxa"/>
          </w:tcPr>
          <w:p w14:paraId="338ECAF9"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0.000</w:t>
            </w:r>
          </w:p>
        </w:tc>
        <w:tc>
          <w:tcPr>
            <w:tcW w:w="675" w:type="dxa"/>
          </w:tcPr>
          <w:p w14:paraId="080D7359"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0.001</w:t>
            </w:r>
          </w:p>
        </w:tc>
        <w:tc>
          <w:tcPr>
            <w:tcW w:w="675" w:type="dxa"/>
          </w:tcPr>
          <w:p w14:paraId="070EDC5A"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0.001</w:t>
            </w:r>
          </w:p>
        </w:tc>
        <w:tc>
          <w:tcPr>
            <w:tcW w:w="675" w:type="dxa"/>
          </w:tcPr>
          <w:p w14:paraId="602812F4"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0.006</w:t>
            </w:r>
          </w:p>
        </w:tc>
        <w:tc>
          <w:tcPr>
            <w:tcW w:w="675" w:type="dxa"/>
          </w:tcPr>
          <w:p w14:paraId="7C6C058F"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0.004</w:t>
            </w:r>
          </w:p>
        </w:tc>
        <w:tc>
          <w:tcPr>
            <w:tcW w:w="675" w:type="dxa"/>
          </w:tcPr>
          <w:p w14:paraId="571E46DE"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3F919FAB"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50A747F9"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0.002</w:t>
            </w:r>
          </w:p>
        </w:tc>
        <w:tc>
          <w:tcPr>
            <w:tcW w:w="675" w:type="dxa"/>
          </w:tcPr>
          <w:p w14:paraId="3C810807"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0.023</w:t>
            </w:r>
          </w:p>
        </w:tc>
        <w:tc>
          <w:tcPr>
            <w:tcW w:w="675" w:type="dxa"/>
          </w:tcPr>
          <w:p w14:paraId="3D1DD5F3"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0.011</w:t>
            </w:r>
          </w:p>
        </w:tc>
        <w:tc>
          <w:tcPr>
            <w:tcW w:w="831" w:type="dxa"/>
          </w:tcPr>
          <w:p w14:paraId="3CA5AA36"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0.118</w:t>
            </w:r>
          </w:p>
        </w:tc>
        <w:tc>
          <w:tcPr>
            <w:tcW w:w="831" w:type="dxa"/>
            <w:vAlign w:val="bottom"/>
          </w:tcPr>
          <w:p w14:paraId="10E0F780" w14:textId="0485953F"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Pr>
                <w:rFonts w:cs="Arial"/>
                <w:sz w:val="20"/>
                <w:szCs w:val="20"/>
              </w:rPr>
              <w:t>23%</w:t>
            </w:r>
          </w:p>
        </w:tc>
      </w:tr>
      <w:tr w:rsidR="00C226FE" w:rsidRPr="0089011E" w14:paraId="70FC94CB" w14:textId="218393B0" w:rsidTr="00AE4516">
        <w:tc>
          <w:tcPr>
            <w:cnfStyle w:val="001000000000" w:firstRow="0" w:lastRow="0" w:firstColumn="1" w:lastColumn="0" w:oddVBand="0" w:evenVBand="0" w:oddHBand="0" w:evenHBand="0" w:firstRowFirstColumn="0" w:firstRowLastColumn="0" w:lastRowFirstColumn="0" w:lastRowLastColumn="0"/>
            <w:tcW w:w="675" w:type="dxa"/>
            <w:vAlign w:val="bottom"/>
          </w:tcPr>
          <w:p w14:paraId="50E077FE" w14:textId="77777777" w:rsidR="00C226FE" w:rsidRPr="00A5067F" w:rsidRDefault="00C226FE" w:rsidP="00656AF0">
            <w:pPr>
              <w:pStyle w:val="Table1"/>
            </w:pPr>
            <w:r w:rsidRPr="00A5067F">
              <w:t>2025</w:t>
            </w:r>
          </w:p>
        </w:tc>
        <w:tc>
          <w:tcPr>
            <w:tcW w:w="675" w:type="dxa"/>
          </w:tcPr>
          <w:p w14:paraId="4E6832F9"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0.052</w:t>
            </w:r>
          </w:p>
        </w:tc>
        <w:tc>
          <w:tcPr>
            <w:tcW w:w="675" w:type="dxa"/>
          </w:tcPr>
          <w:p w14:paraId="0E786349"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0.001</w:t>
            </w:r>
          </w:p>
        </w:tc>
        <w:tc>
          <w:tcPr>
            <w:tcW w:w="675" w:type="dxa"/>
          </w:tcPr>
          <w:p w14:paraId="3B859F6B"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0.003</w:t>
            </w:r>
          </w:p>
        </w:tc>
        <w:tc>
          <w:tcPr>
            <w:tcW w:w="675" w:type="dxa"/>
          </w:tcPr>
          <w:p w14:paraId="104192AE"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3EA4E9A3"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0.004</w:t>
            </w:r>
          </w:p>
        </w:tc>
        <w:tc>
          <w:tcPr>
            <w:tcW w:w="675" w:type="dxa"/>
          </w:tcPr>
          <w:p w14:paraId="57A3F68B"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0.003</w:t>
            </w:r>
          </w:p>
        </w:tc>
        <w:tc>
          <w:tcPr>
            <w:tcW w:w="675" w:type="dxa"/>
          </w:tcPr>
          <w:p w14:paraId="483614A7"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5DC3228F"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2211A443"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19D76FCA"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78E85CDD"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053F8B3E"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831" w:type="dxa"/>
          </w:tcPr>
          <w:p w14:paraId="71CD6DDC"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0.063</w:t>
            </w:r>
          </w:p>
        </w:tc>
        <w:tc>
          <w:tcPr>
            <w:tcW w:w="831" w:type="dxa"/>
            <w:vAlign w:val="bottom"/>
          </w:tcPr>
          <w:p w14:paraId="4FC58487" w14:textId="13BB37E1"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Pr>
                <w:rFonts w:cs="Arial"/>
                <w:sz w:val="20"/>
                <w:szCs w:val="20"/>
              </w:rPr>
              <w:t>26%</w:t>
            </w:r>
          </w:p>
        </w:tc>
      </w:tr>
      <w:tr w:rsidR="00C226FE" w:rsidRPr="0089011E" w14:paraId="3A76F566" w14:textId="677A14B8" w:rsidTr="00AE45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vAlign w:val="bottom"/>
          </w:tcPr>
          <w:p w14:paraId="24E523F6" w14:textId="77777777" w:rsidR="00C226FE" w:rsidRPr="00A5067F" w:rsidRDefault="00C226FE" w:rsidP="00656AF0">
            <w:pPr>
              <w:pStyle w:val="Table1"/>
            </w:pPr>
            <w:r w:rsidRPr="00A5067F">
              <w:t>2030</w:t>
            </w:r>
          </w:p>
        </w:tc>
        <w:tc>
          <w:tcPr>
            <w:tcW w:w="675" w:type="dxa"/>
          </w:tcPr>
          <w:p w14:paraId="05A163B8"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0.004</w:t>
            </w:r>
          </w:p>
        </w:tc>
        <w:tc>
          <w:tcPr>
            <w:tcW w:w="675" w:type="dxa"/>
          </w:tcPr>
          <w:p w14:paraId="1B7B4B09"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0.001</w:t>
            </w:r>
          </w:p>
        </w:tc>
        <w:tc>
          <w:tcPr>
            <w:tcW w:w="675" w:type="dxa"/>
          </w:tcPr>
          <w:p w14:paraId="63FA4CCB"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0.000</w:t>
            </w:r>
          </w:p>
        </w:tc>
        <w:tc>
          <w:tcPr>
            <w:tcW w:w="675" w:type="dxa"/>
          </w:tcPr>
          <w:p w14:paraId="1460EE40" w14:textId="77777777" w:rsidR="00C226FE" w:rsidRPr="00A5067F"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A5067F">
              <w:t>0.000</w:t>
            </w:r>
          </w:p>
        </w:tc>
        <w:tc>
          <w:tcPr>
            <w:tcW w:w="675" w:type="dxa"/>
          </w:tcPr>
          <w:p w14:paraId="65A0D34E"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65D7512B"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0.005</w:t>
            </w:r>
          </w:p>
        </w:tc>
        <w:tc>
          <w:tcPr>
            <w:tcW w:w="675" w:type="dxa"/>
          </w:tcPr>
          <w:p w14:paraId="1051C5CD"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2C1E0185"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162D2010"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5C33C9FF"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49D920B7"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0.000</w:t>
            </w:r>
          </w:p>
        </w:tc>
        <w:tc>
          <w:tcPr>
            <w:tcW w:w="675" w:type="dxa"/>
          </w:tcPr>
          <w:p w14:paraId="29C8E798"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0.012</w:t>
            </w:r>
          </w:p>
        </w:tc>
        <w:tc>
          <w:tcPr>
            <w:tcW w:w="831" w:type="dxa"/>
          </w:tcPr>
          <w:p w14:paraId="1B698744" w14:textId="77777777"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706640">
              <w:t>0.022</w:t>
            </w:r>
          </w:p>
        </w:tc>
        <w:tc>
          <w:tcPr>
            <w:tcW w:w="831" w:type="dxa"/>
            <w:vAlign w:val="bottom"/>
          </w:tcPr>
          <w:p w14:paraId="5179C357" w14:textId="105B69BD" w:rsidR="00C226FE" w:rsidRPr="00706640" w:rsidRDefault="00C226FE" w:rsidP="00656AF0">
            <w:pPr>
              <w:pStyle w:val="Table1"/>
              <w:cnfStyle w:val="000000100000" w:firstRow="0" w:lastRow="0" w:firstColumn="0" w:lastColumn="0" w:oddVBand="0" w:evenVBand="0" w:oddHBand="1" w:evenHBand="0" w:firstRowFirstColumn="0" w:firstRowLastColumn="0" w:lastRowFirstColumn="0" w:lastRowLastColumn="0"/>
            </w:pPr>
            <w:r>
              <w:rPr>
                <w:rFonts w:cs="Arial"/>
                <w:sz w:val="20"/>
                <w:szCs w:val="20"/>
              </w:rPr>
              <w:t>25%</w:t>
            </w:r>
          </w:p>
        </w:tc>
      </w:tr>
      <w:tr w:rsidR="00C226FE" w:rsidRPr="0089011E" w14:paraId="5590C244" w14:textId="4747BB0B" w:rsidTr="00AE4516">
        <w:tc>
          <w:tcPr>
            <w:cnfStyle w:val="001000000000" w:firstRow="0" w:lastRow="0" w:firstColumn="1" w:lastColumn="0" w:oddVBand="0" w:evenVBand="0" w:oddHBand="0" w:evenHBand="0" w:firstRowFirstColumn="0" w:firstRowLastColumn="0" w:lastRowFirstColumn="0" w:lastRowLastColumn="0"/>
            <w:tcW w:w="675" w:type="dxa"/>
            <w:vAlign w:val="bottom"/>
          </w:tcPr>
          <w:p w14:paraId="00B11EA7" w14:textId="77777777" w:rsidR="00C226FE" w:rsidRPr="00A5067F" w:rsidRDefault="00C226FE" w:rsidP="00656AF0">
            <w:pPr>
              <w:pStyle w:val="Table1"/>
            </w:pPr>
            <w:r w:rsidRPr="00A5067F">
              <w:t>2033</w:t>
            </w:r>
          </w:p>
        </w:tc>
        <w:tc>
          <w:tcPr>
            <w:tcW w:w="675" w:type="dxa"/>
          </w:tcPr>
          <w:p w14:paraId="25F1A2EB"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0.030</w:t>
            </w:r>
          </w:p>
        </w:tc>
        <w:tc>
          <w:tcPr>
            <w:tcW w:w="675" w:type="dxa"/>
          </w:tcPr>
          <w:p w14:paraId="4203D854"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0.000</w:t>
            </w:r>
          </w:p>
        </w:tc>
        <w:tc>
          <w:tcPr>
            <w:tcW w:w="675" w:type="dxa"/>
          </w:tcPr>
          <w:p w14:paraId="288EF462"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0.000</w:t>
            </w:r>
          </w:p>
        </w:tc>
        <w:tc>
          <w:tcPr>
            <w:tcW w:w="675" w:type="dxa"/>
          </w:tcPr>
          <w:p w14:paraId="0F4217F1" w14:textId="77777777" w:rsidR="00C226FE" w:rsidRPr="00A5067F"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A5067F">
              <w:t>0.000</w:t>
            </w:r>
          </w:p>
        </w:tc>
        <w:tc>
          <w:tcPr>
            <w:tcW w:w="675" w:type="dxa"/>
          </w:tcPr>
          <w:p w14:paraId="759D1ED6"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27B4F0FA"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0.005</w:t>
            </w:r>
          </w:p>
        </w:tc>
        <w:tc>
          <w:tcPr>
            <w:tcW w:w="675" w:type="dxa"/>
          </w:tcPr>
          <w:p w14:paraId="638D7CC3"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0.001</w:t>
            </w:r>
          </w:p>
        </w:tc>
        <w:tc>
          <w:tcPr>
            <w:tcW w:w="675" w:type="dxa"/>
          </w:tcPr>
          <w:p w14:paraId="45F82BCB"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5CB4D440"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203F7C5C"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0.000</w:t>
            </w:r>
          </w:p>
        </w:tc>
        <w:tc>
          <w:tcPr>
            <w:tcW w:w="675" w:type="dxa"/>
          </w:tcPr>
          <w:p w14:paraId="3E92987C"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0.004</w:t>
            </w:r>
          </w:p>
        </w:tc>
        <w:tc>
          <w:tcPr>
            <w:tcW w:w="675" w:type="dxa"/>
          </w:tcPr>
          <w:p w14:paraId="18F09654"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0.008</w:t>
            </w:r>
          </w:p>
        </w:tc>
        <w:tc>
          <w:tcPr>
            <w:tcW w:w="831" w:type="dxa"/>
          </w:tcPr>
          <w:p w14:paraId="60C3E0B7" w14:textId="77777777"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706640">
              <w:t>0.048</w:t>
            </w:r>
          </w:p>
        </w:tc>
        <w:tc>
          <w:tcPr>
            <w:tcW w:w="831" w:type="dxa"/>
            <w:vAlign w:val="bottom"/>
          </w:tcPr>
          <w:p w14:paraId="25DF780E" w14:textId="1DF43794" w:rsidR="00C226FE" w:rsidRPr="00706640" w:rsidRDefault="00C226FE" w:rsidP="00656AF0">
            <w:pPr>
              <w:pStyle w:val="Table1"/>
              <w:cnfStyle w:val="000000000000" w:firstRow="0" w:lastRow="0" w:firstColumn="0" w:lastColumn="0" w:oddVBand="0" w:evenVBand="0" w:oddHBand="0" w:evenHBand="0" w:firstRowFirstColumn="0" w:firstRowLastColumn="0" w:lastRowFirstColumn="0" w:lastRowLastColumn="0"/>
            </w:pPr>
            <w:r>
              <w:rPr>
                <w:rFonts w:cs="Arial"/>
                <w:sz w:val="20"/>
                <w:szCs w:val="20"/>
              </w:rPr>
              <w:t>25%</w:t>
            </w:r>
          </w:p>
        </w:tc>
      </w:tr>
    </w:tbl>
    <w:p w14:paraId="4E3D16D2" w14:textId="77777777" w:rsidR="00EF1D77" w:rsidRPr="005204B9" w:rsidRDefault="00EF1D77" w:rsidP="00EF1D77">
      <w:pPr>
        <w:pStyle w:val="Heading3"/>
      </w:pPr>
      <w:bookmarkStart w:id="63" w:name="_Toc383170525"/>
      <w:bookmarkStart w:id="64" w:name="_Toc426649359"/>
      <w:r w:rsidRPr="005204B9">
        <w:t>Resource Sensitivity Analysis</w:t>
      </w:r>
      <w:bookmarkEnd w:id="63"/>
      <w:bookmarkEnd w:id="64"/>
    </w:p>
    <w:p w14:paraId="18A15B72" w14:textId="3FF91F63" w:rsidR="00EF1D77" w:rsidRDefault="00EF1D77" w:rsidP="00EF1D77">
      <w:pPr>
        <w:rPr>
          <w:lang w:val="en-US"/>
        </w:rPr>
      </w:pPr>
      <w:r>
        <w:rPr>
          <w:lang w:val="en-US"/>
        </w:rPr>
        <w:t xml:space="preserve">Cases in this sensitivity group investigated the impact of increasing the </w:t>
      </w:r>
      <w:r w:rsidR="0042575B">
        <w:rPr>
          <w:lang w:val="en-US"/>
        </w:rPr>
        <w:t>Forced Outage Rate</w:t>
      </w:r>
      <w:r>
        <w:rPr>
          <w:lang w:val="en-US"/>
        </w:rPr>
        <w:t xml:space="preserve"> </w:t>
      </w:r>
      <w:r w:rsidR="0042575B">
        <w:rPr>
          <w:lang w:val="en-US"/>
        </w:rPr>
        <w:t xml:space="preserve">(FOR) </w:t>
      </w:r>
      <w:r>
        <w:rPr>
          <w:lang w:val="en-US"/>
        </w:rPr>
        <w:t>for WAX, BRD, BRX and FBC’s own generation resources. A case in which all WAX surplus is</w:t>
      </w:r>
      <w:r w:rsidR="0042575B">
        <w:rPr>
          <w:lang w:val="en-US"/>
        </w:rPr>
        <w:t xml:space="preserve"> not </w:t>
      </w:r>
      <w:r w:rsidR="0042575B" w:rsidRPr="001D3074">
        <w:rPr>
          <w:lang w:val="en-US"/>
        </w:rPr>
        <w:t>available for PRM</w:t>
      </w:r>
      <w:r w:rsidRPr="001D3074">
        <w:rPr>
          <w:lang w:val="en-US"/>
        </w:rPr>
        <w:t xml:space="preserve"> was also considered. Finally, the impact of requiring expected gaps to be met with no additional planned resources was addressed in both the presence and absence of the market.</w:t>
      </w:r>
    </w:p>
    <w:p w14:paraId="013DE023" w14:textId="470E738F" w:rsidR="00EF1D77" w:rsidRPr="001443E3" w:rsidRDefault="00EF1D77" w:rsidP="00EF1D77">
      <w:pPr>
        <w:pStyle w:val="Heading7"/>
      </w:pPr>
      <w:bookmarkStart w:id="65" w:name="_Ref355860362"/>
      <w:r>
        <w:lastRenderedPageBreak/>
        <w:t xml:space="preserve">Case </w:t>
      </w:r>
      <w:r w:rsidR="00C226FE">
        <w:t>4</w:t>
      </w:r>
      <w:r>
        <w:t xml:space="preserve">.  </w:t>
      </w:r>
      <w:r w:rsidRPr="001443E3">
        <w:t xml:space="preserve">WAX’s </w:t>
      </w:r>
      <w:bookmarkEnd w:id="65"/>
      <w:r>
        <w:t>Availability</w:t>
      </w:r>
    </w:p>
    <w:p w14:paraId="3DCC4946" w14:textId="6B8A90C8" w:rsidR="00EF1D77" w:rsidRDefault="00EF1D77" w:rsidP="00EF1D77">
      <w:pPr>
        <w:rPr>
          <w:lang w:val="en-US"/>
        </w:rPr>
      </w:pPr>
      <w:r>
        <w:rPr>
          <w:lang w:val="en-US"/>
        </w:rPr>
        <w:t xml:space="preserve">Case 0 assumes WAX’s expected FOR is 0.5% in the first five years of the plant’s operation and 0.25% thereafter. This sensitivity case examines WAX’s expected FOR increased to 1% and 0.5% respectively. As expected, LOLE increased when the WAX FOR increased, but the impact was marginal and the LOLEs were within target. </w:t>
      </w:r>
    </w:p>
    <w:p w14:paraId="6123E2DD" w14:textId="4D57A311" w:rsidR="00EF1D77" w:rsidRPr="00947E3E" w:rsidRDefault="00EF1D77" w:rsidP="00EF1D77">
      <w:pPr>
        <w:pStyle w:val="TableHeading"/>
        <w:rPr>
          <w:lang w:val="en-US"/>
        </w:rPr>
      </w:pPr>
      <w:bookmarkStart w:id="66" w:name="_Toc355786981"/>
      <w:bookmarkStart w:id="67" w:name="_Toc383169311"/>
      <w:bookmarkStart w:id="68" w:name="_Toc421190634"/>
      <w:r>
        <w:t>Table 3-</w:t>
      </w:r>
      <w:r w:rsidR="00A22B13">
        <w:t>6</w:t>
      </w:r>
      <w:r>
        <w:t xml:space="preserve">:  </w:t>
      </w:r>
      <w:r w:rsidRPr="002F7EE4">
        <w:rPr>
          <w:lang w:val="en-US"/>
        </w:rPr>
        <w:t>LOLE</w:t>
      </w:r>
      <w:r>
        <w:t xml:space="preserve"> in Case </w:t>
      </w:r>
      <w:r w:rsidR="00C226FE">
        <w:t xml:space="preserve">4 </w:t>
      </w:r>
      <w:r>
        <w:t xml:space="preserve">- </w:t>
      </w:r>
      <w:r w:rsidRPr="002F7EE4">
        <w:rPr>
          <w:lang w:val="en-US"/>
        </w:rPr>
        <w:t>WAX FOR Variations</w:t>
      </w:r>
      <w:bookmarkEnd w:id="66"/>
      <w:bookmarkEnd w:id="67"/>
      <w:bookmarkEnd w:id="68"/>
    </w:p>
    <w:tbl>
      <w:tblPr>
        <w:tblStyle w:val="LightList-Accent11"/>
        <w:tblW w:w="7796" w:type="dxa"/>
        <w:tblInd w:w="1384" w:type="dxa"/>
        <w:tblLook w:val="04A0" w:firstRow="1" w:lastRow="0" w:firstColumn="1" w:lastColumn="0" w:noHBand="0" w:noVBand="1"/>
      </w:tblPr>
      <w:tblGrid>
        <w:gridCol w:w="1559"/>
        <w:gridCol w:w="1559"/>
        <w:gridCol w:w="1559"/>
        <w:gridCol w:w="1559"/>
        <w:gridCol w:w="1560"/>
      </w:tblGrid>
      <w:tr w:rsidR="00A349A7" w:rsidRPr="00E24C3D" w14:paraId="3F40DD86" w14:textId="06F302C5" w:rsidTr="00430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Align w:val="center"/>
          </w:tcPr>
          <w:p w14:paraId="38C314D3" w14:textId="77777777" w:rsidR="00A349A7" w:rsidRDefault="00A349A7" w:rsidP="00656AF0">
            <w:pPr>
              <w:pStyle w:val="Table1"/>
              <w:rPr>
                <w:b w:val="0"/>
                <w:bCs w:val="0"/>
              </w:rPr>
            </w:pPr>
            <w:r w:rsidRPr="00864899">
              <w:t>Year</w:t>
            </w:r>
          </w:p>
        </w:tc>
        <w:tc>
          <w:tcPr>
            <w:tcW w:w="3118" w:type="dxa"/>
            <w:gridSpan w:val="2"/>
            <w:vAlign w:val="center"/>
          </w:tcPr>
          <w:p w14:paraId="29D78B0F" w14:textId="5DF31E41" w:rsidR="00A349A7" w:rsidRPr="00864899" w:rsidRDefault="00A349A7" w:rsidP="00656AF0">
            <w:pPr>
              <w:pStyle w:val="Table1"/>
              <w:cnfStyle w:val="100000000000" w:firstRow="1" w:lastRow="0" w:firstColumn="0" w:lastColumn="0" w:oddVBand="0" w:evenVBand="0" w:oddHBand="0" w:evenHBand="0" w:firstRowFirstColumn="0" w:firstRowLastColumn="0" w:lastRowFirstColumn="0" w:lastRowLastColumn="0"/>
            </w:pPr>
            <w:r w:rsidRPr="00864899">
              <w:t>FOR 0.5%</w:t>
            </w:r>
          </w:p>
        </w:tc>
        <w:tc>
          <w:tcPr>
            <w:tcW w:w="3119" w:type="dxa"/>
            <w:gridSpan w:val="2"/>
            <w:vAlign w:val="center"/>
          </w:tcPr>
          <w:p w14:paraId="33BDF358" w14:textId="4A22088D" w:rsidR="00A349A7" w:rsidRPr="00864899" w:rsidRDefault="00A349A7" w:rsidP="00656AF0">
            <w:pPr>
              <w:pStyle w:val="Table1"/>
              <w:cnfStyle w:val="100000000000" w:firstRow="1" w:lastRow="0" w:firstColumn="0" w:lastColumn="0" w:oddVBand="0" w:evenVBand="0" w:oddHBand="0" w:evenHBand="0" w:firstRowFirstColumn="0" w:firstRowLastColumn="0" w:lastRowFirstColumn="0" w:lastRowLastColumn="0"/>
            </w:pPr>
            <w:r w:rsidRPr="00864899">
              <w:t>FOR 1%</w:t>
            </w:r>
          </w:p>
        </w:tc>
      </w:tr>
      <w:tr w:rsidR="00C226FE" w:rsidRPr="005204B9" w14:paraId="47A4D187" w14:textId="77777777" w:rsidTr="0042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Align w:val="bottom"/>
          </w:tcPr>
          <w:p w14:paraId="77271E5B" w14:textId="77777777" w:rsidR="00C226FE" w:rsidRPr="00864899" w:rsidRDefault="00C226FE" w:rsidP="00656AF0">
            <w:pPr>
              <w:pStyle w:val="Table1"/>
            </w:pPr>
          </w:p>
        </w:tc>
        <w:tc>
          <w:tcPr>
            <w:tcW w:w="1559" w:type="dxa"/>
            <w:vAlign w:val="bottom"/>
          </w:tcPr>
          <w:p w14:paraId="32C48C56" w14:textId="64BD1B26" w:rsidR="00C226FE" w:rsidRPr="00864899" w:rsidRDefault="00C226FE" w:rsidP="00656AF0">
            <w:pPr>
              <w:pStyle w:val="Table1"/>
              <w:cnfStyle w:val="000000100000" w:firstRow="0" w:lastRow="0" w:firstColumn="0" w:lastColumn="0" w:oddVBand="0" w:evenVBand="0" w:oddHBand="1" w:evenHBand="0" w:firstRowFirstColumn="0" w:firstRowLastColumn="0" w:lastRowFirstColumn="0" w:lastRowLastColumn="0"/>
            </w:pPr>
            <w:r>
              <w:t>LOLE</w:t>
            </w:r>
          </w:p>
        </w:tc>
        <w:tc>
          <w:tcPr>
            <w:tcW w:w="1559" w:type="dxa"/>
          </w:tcPr>
          <w:p w14:paraId="39487BB6" w14:textId="2A660D9D" w:rsidR="00C226FE" w:rsidRPr="00864899" w:rsidRDefault="00C226FE" w:rsidP="00656AF0">
            <w:pPr>
              <w:pStyle w:val="Table1"/>
              <w:cnfStyle w:val="000000100000" w:firstRow="0" w:lastRow="0" w:firstColumn="0" w:lastColumn="0" w:oddVBand="0" w:evenVBand="0" w:oddHBand="1" w:evenHBand="0" w:firstRowFirstColumn="0" w:firstRowLastColumn="0" w:lastRowFirstColumn="0" w:lastRowLastColumn="0"/>
            </w:pPr>
            <w:r>
              <w:t>Winter PRM</w:t>
            </w:r>
          </w:p>
        </w:tc>
        <w:tc>
          <w:tcPr>
            <w:tcW w:w="1559" w:type="dxa"/>
            <w:vAlign w:val="bottom"/>
          </w:tcPr>
          <w:p w14:paraId="2CBEBEFF" w14:textId="6B936E54" w:rsidR="00C226FE" w:rsidRPr="00864899" w:rsidRDefault="00C226FE" w:rsidP="00656AF0">
            <w:pPr>
              <w:pStyle w:val="Table1"/>
              <w:cnfStyle w:val="000000100000" w:firstRow="0" w:lastRow="0" w:firstColumn="0" w:lastColumn="0" w:oddVBand="0" w:evenVBand="0" w:oddHBand="1" w:evenHBand="0" w:firstRowFirstColumn="0" w:firstRowLastColumn="0" w:lastRowFirstColumn="0" w:lastRowLastColumn="0"/>
            </w:pPr>
            <w:r>
              <w:t>LOLE</w:t>
            </w:r>
          </w:p>
        </w:tc>
        <w:tc>
          <w:tcPr>
            <w:tcW w:w="1560" w:type="dxa"/>
          </w:tcPr>
          <w:p w14:paraId="2CB21A39" w14:textId="11FC7365" w:rsidR="00C226FE" w:rsidRPr="00864899" w:rsidRDefault="00C226FE" w:rsidP="00656AF0">
            <w:pPr>
              <w:pStyle w:val="Table1"/>
              <w:cnfStyle w:val="000000100000" w:firstRow="0" w:lastRow="0" w:firstColumn="0" w:lastColumn="0" w:oddVBand="0" w:evenVBand="0" w:oddHBand="1" w:evenHBand="0" w:firstRowFirstColumn="0" w:firstRowLastColumn="0" w:lastRowFirstColumn="0" w:lastRowLastColumn="0"/>
            </w:pPr>
            <w:r>
              <w:t>Winter PRM</w:t>
            </w:r>
          </w:p>
        </w:tc>
      </w:tr>
      <w:tr w:rsidR="00C226FE" w:rsidRPr="005204B9" w14:paraId="72BCDB43" w14:textId="192D3E27" w:rsidTr="0042575B">
        <w:tc>
          <w:tcPr>
            <w:cnfStyle w:val="001000000000" w:firstRow="0" w:lastRow="0" w:firstColumn="1" w:lastColumn="0" w:oddVBand="0" w:evenVBand="0" w:oddHBand="0" w:evenHBand="0" w:firstRowFirstColumn="0" w:firstRowLastColumn="0" w:lastRowFirstColumn="0" w:lastRowLastColumn="0"/>
            <w:tcW w:w="1559" w:type="dxa"/>
            <w:vAlign w:val="bottom"/>
          </w:tcPr>
          <w:p w14:paraId="367F441C" w14:textId="77777777" w:rsidR="00C226FE" w:rsidRDefault="00C226FE" w:rsidP="00656AF0">
            <w:pPr>
              <w:pStyle w:val="Table1"/>
              <w:rPr>
                <w:b w:val="0"/>
                <w:bCs w:val="0"/>
              </w:rPr>
            </w:pPr>
            <w:r w:rsidRPr="00864899">
              <w:t>2014</w:t>
            </w:r>
          </w:p>
        </w:tc>
        <w:tc>
          <w:tcPr>
            <w:tcW w:w="1559" w:type="dxa"/>
            <w:vAlign w:val="bottom"/>
          </w:tcPr>
          <w:p w14:paraId="4B64A543" w14:textId="77777777" w:rsidR="00C226F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64899">
              <w:t>0.007</w:t>
            </w:r>
          </w:p>
        </w:tc>
        <w:tc>
          <w:tcPr>
            <w:tcW w:w="1559" w:type="dxa"/>
          </w:tcPr>
          <w:p w14:paraId="59C9D2BB" w14:textId="2E8D82F7" w:rsidR="00C226FE" w:rsidRPr="00864899"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63313">
              <w:t>27%</w:t>
            </w:r>
          </w:p>
        </w:tc>
        <w:tc>
          <w:tcPr>
            <w:tcW w:w="1559" w:type="dxa"/>
            <w:vAlign w:val="bottom"/>
          </w:tcPr>
          <w:p w14:paraId="6F24D2EE" w14:textId="4CFE7B37" w:rsidR="00C226F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64899">
              <w:t>0.008</w:t>
            </w:r>
          </w:p>
        </w:tc>
        <w:tc>
          <w:tcPr>
            <w:tcW w:w="1560" w:type="dxa"/>
          </w:tcPr>
          <w:p w14:paraId="77B62712" w14:textId="07A757DD" w:rsidR="00C226FE" w:rsidRPr="00864899"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224169">
              <w:t>27%</w:t>
            </w:r>
          </w:p>
        </w:tc>
      </w:tr>
      <w:tr w:rsidR="00C226FE" w:rsidRPr="005204B9" w14:paraId="5491AB49" w14:textId="2205D3A1" w:rsidTr="0042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Align w:val="bottom"/>
          </w:tcPr>
          <w:p w14:paraId="52347B45" w14:textId="77777777" w:rsidR="00C226FE" w:rsidRDefault="00C226FE" w:rsidP="00656AF0">
            <w:pPr>
              <w:pStyle w:val="Table1"/>
              <w:rPr>
                <w:b w:val="0"/>
                <w:bCs w:val="0"/>
              </w:rPr>
            </w:pPr>
            <w:r w:rsidRPr="00864899">
              <w:t>2015</w:t>
            </w:r>
          </w:p>
        </w:tc>
        <w:tc>
          <w:tcPr>
            <w:tcW w:w="1559" w:type="dxa"/>
            <w:vAlign w:val="bottom"/>
          </w:tcPr>
          <w:p w14:paraId="4269EF7E" w14:textId="77777777" w:rsidR="00C226F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64899">
              <w:t>0.020</w:t>
            </w:r>
          </w:p>
        </w:tc>
        <w:tc>
          <w:tcPr>
            <w:tcW w:w="1559" w:type="dxa"/>
          </w:tcPr>
          <w:p w14:paraId="3B74765F" w14:textId="05E616F9" w:rsidR="00C226FE" w:rsidRPr="00864899"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63313">
              <w:t>27%</w:t>
            </w:r>
          </w:p>
        </w:tc>
        <w:tc>
          <w:tcPr>
            <w:tcW w:w="1559" w:type="dxa"/>
            <w:vAlign w:val="bottom"/>
          </w:tcPr>
          <w:p w14:paraId="75157E0D" w14:textId="2EA64366" w:rsidR="00C226F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64899">
              <w:t>0.052</w:t>
            </w:r>
          </w:p>
        </w:tc>
        <w:tc>
          <w:tcPr>
            <w:tcW w:w="1560" w:type="dxa"/>
          </w:tcPr>
          <w:p w14:paraId="54948527" w14:textId="39E2759A" w:rsidR="00C226FE" w:rsidRPr="00864899"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224169">
              <w:t>27%</w:t>
            </w:r>
          </w:p>
        </w:tc>
      </w:tr>
      <w:tr w:rsidR="00C226FE" w:rsidRPr="005204B9" w14:paraId="65C6D63B" w14:textId="60C515D0" w:rsidTr="0042575B">
        <w:tc>
          <w:tcPr>
            <w:cnfStyle w:val="001000000000" w:firstRow="0" w:lastRow="0" w:firstColumn="1" w:lastColumn="0" w:oddVBand="0" w:evenVBand="0" w:oddHBand="0" w:evenHBand="0" w:firstRowFirstColumn="0" w:firstRowLastColumn="0" w:lastRowFirstColumn="0" w:lastRowLastColumn="0"/>
            <w:tcW w:w="1559" w:type="dxa"/>
            <w:vAlign w:val="bottom"/>
          </w:tcPr>
          <w:p w14:paraId="73650561" w14:textId="77777777" w:rsidR="00C226FE" w:rsidRDefault="00C226FE" w:rsidP="00656AF0">
            <w:pPr>
              <w:pStyle w:val="Table1"/>
              <w:rPr>
                <w:b w:val="0"/>
                <w:bCs w:val="0"/>
              </w:rPr>
            </w:pPr>
            <w:r w:rsidRPr="00864899">
              <w:t>2016</w:t>
            </w:r>
          </w:p>
        </w:tc>
        <w:tc>
          <w:tcPr>
            <w:tcW w:w="1559" w:type="dxa"/>
            <w:vAlign w:val="bottom"/>
          </w:tcPr>
          <w:p w14:paraId="058C4FBB" w14:textId="77777777" w:rsidR="00C226F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64899">
              <w:t>0.004</w:t>
            </w:r>
          </w:p>
        </w:tc>
        <w:tc>
          <w:tcPr>
            <w:tcW w:w="1559" w:type="dxa"/>
          </w:tcPr>
          <w:p w14:paraId="2E33E1D1" w14:textId="670C0EBE" w:rsidR="00C226FE" w:rsidRPr="00864899"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63313">
              <w:t>26%</w:t>
            </w:r>
          </w:p>
        </w:tc>
        <w:tc>
          <w:tcPr>
            <w:tcW w:w="1559" w:type="dxa"/>
            <w:vAlign w:val="bottom"/>
          </w:tcPr>
          <w:p w14:paraId="72DB6537" w14:textId="7DEDFDF0" w:rsidR="00C226F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64899">
              <w:t>0.011</w:t>
            </w:r>
          </w:p>
        </w:tc>
        <w:tc>
          <w:tcPr>
            <w:tcW w:w="1560" w:type="dxa"/>
          </w:tcPr>
          <w:p w14:paraId="03E2B4F1" w14:textId="3FC67740" w:rsidR="00C226FE" w:rsidRPr="00864899"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224169">
              <w:t>26%</w:t>
            </w:r>
          </w:p>
        </w:tc>
      </w:tr>
      <w:tr w:rsidR="00C226FE" w:rsidRPr="005204B9" w14:paraId="0EB9F79A" w14:textId="2B443601" w:rsidTr="0042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Align w:val="bottom"/>
          </w:tcPr>
          <w:p w14:paraId="18157AF7" w14:textId="77777777" w:rsidR="00C226FE" w:rsidRDefault="00C226FE" w:rsidP="00656AF0">
            <w:pPr>
              <w:pStyle w:val="Table1"/>
              <w:rPr>
                <w:b w:val="0"/>
                <w:bCs w:val="0"/>
              </w:rPr>
            </w:pPr>
            <w:r w:rsidRPr="00864899">
              <w:t>2017</w:t>
            </w:r>
          </w:p>
        </w:tc>
        <w:tc>
          <w:tcPr>
            <w:tcW w:w="1559" w:type="dxa"/>
            <w:vAlign w:val="bottom"/>
          </w:tcPr>
          <w:p w14:paraId="0B1B0DEE" w14:textId="77777777" w:rsidR="00C226F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64899">
              <w:t>0.002</w:t>
            </w:r>
          </w:p>
        </w:tc>
        <w:tc>
          <w:tcPr>
            <w:tcW w:w="1559" w:type="dxa"/>
          </w:tcPr>
          <w:p w14:paraId="77152B0D" w14:textId="549E8961" w:rsidR="00C226FE" w:rsidRPr="00864899"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63313">
              <w:t>26%</w:t>
            </w:r>
          </w:p>
        </w:tc>
        <w:tc>
          <w:tcPr>
            <w:tcW w:w="1559" w:type="dxa"/>
            <w:vAlign w:val="bottom"/>
          </w:tcPr>
          <w:p w14:paraId="27F21FC8" w14:textId="176ACBB2" w:rsidR="00C226F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64899">
              <w:t>0.016</w:t>
            </w:r>
          </w:p>
        </w:tc>
        <w:tc>
          <w:tcPr>
            <w:tcW w:w="1560" w:type="dxa"/>
          </w:tcPr>
          <w:p w14:paraId="72D87D88" w14:textId="3BD9B814" w:rsidR="00C226FE" w:rsidRPr="00864899"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224169">
              <w:t>26%</w:t>
            </w:r>
          </w:p>
        </w:tc>
      </w:tr>
      <w:tr w:rsidR="00C226FE" w:rsidRPr="005204B9" w14:paraId="0796483B" w14:textId="7654BAF2" w:rsidTr="0042575B">
        <w:tc>
          <w:tcPr>
            <w:cnfStyle w:val="001000000000" w:firstRow="0" w:lastRow="0" w:firstColumn="1" w:lastColumn="0" w:oddVBand="0" w:evenVBand="0" w:oddHBand="0" w:evenHBand="0" w:firstRowFirstColumn="0" w:firstRowLastColumn="0" w:lastRowFirstColumn="0" w:lastRowLastColumn="0"/>
            <w:tcW w:w="1559" w:type="dxa"/>
            <w:vAlign w:val="bottom"/>
          </w:tcPr>
          <w:p w14:paraId="0F5C8E6A" w14:textId="77777777" w:rsidR="00C226FE" w:rsidRDefault="00C226FE" w:rsidP="00656AF0">
            <w:pPr>
              <w:pStyle w:val="Table1"/>
              <w:rPr>
                <w:b w:val="0"/>
                <w:bCs w:val="0"/>
              </w:rPr>
            </w:pPr>
            <w:r w:rsidRPr="00864899">
              <w:t>2018</w:t>
            </w:r>
          </w:p>
        </w:tc>
        <w:tc>
          <w:tcPr>
            <w:tcW w:w="1559" w:type="dxa"/>
            <w:vAlign w:val="bottom"/>
          </w:tcPr>
          <w:p w14:paraId="6CD02636" w14:textId="77777777" w:rsidR="00C226F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64899">
              <w:t>0.015</w:t>
            </w:r>
          </w:p>
        </w:tc>
        <w:tc>
          <w:tcPr>
            <w:tcW w:w="1559" w:type="dxa"/>
          </w:tcPr>
          <w:p w14:paraId="5AFF58D4" w14:textId="61093FD4" w:rsidR="00C226FE" w:rsidRPr="00864899"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63313">
              <w:t>25%</w:t>
            </w:r>
          </w:p>
        </w:tc>
        <w:tc>
          <w:tcPr>
            <w:tcW w:w="1559" w:type="dxa"/>
            <w:vAlign w:val="bottom"/>
          </w:tcPr>
          <w:p w14:paraId="0856DE2E" w14:textId="02218531" w:rsidR="00C226F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64899">
              <w:t>0.010</w:t>
            </w:r>
          </w:p>
        </w:tc>
        <w:tc>
          <w:tcPr>
            <w:tcW w:w="1560" w:type="dxa"/>
          </w:tcPr>
          <w:p w14:paraId="2B94CF86" w14:textId="2A77AB56" w:rsidR="00C226FE" w:rsidRPr="00864899"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224169">
              <w:t>25%</w:t>
            </w:r>
          </w:p>
        </w:tc>
      </w:tr>
      <w:tr w:rsidR="00C226FE" w:rsidRPr="005204B9" w14:paraId="1B331F55" w14:textId="06EA1A08" w:rsidTr="0042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Align w:val="bottom"/>
          </w:tcPr>
          <w:p w14:paraId="2B5DB7C8" w14:textId="77777777" w:rsidR="00C226FE" w:rsidRDefault="00C226FE" w:rsidP="00656AF0">
            <w:pPr>
              <w:pStyle w:val="Table1"/>
              <w:rPr>
                <w:b w:val="0"/>
                <w:bCs w:val="0"/>
              </w:rPr>
            </w:pPr>
            <w:r w:rsidRPr="00864899">
              <w:t>2019</w:t>
            </w:r>
          </w:p>
        </w:tc>
        <w:tc>
          <w:tcPr>
            <w:tcW w:w="1559" w:type="dxa"/>
            <w:vAlign w:val="bottom"/>
          </w:tcPr>
          <w:p w14:paraId="45603DE9" w14:textId="77777777" w:rsidR="00C226F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64899">
              <w:t>0.005</w:t>
            </w:r>
          </w:p>
        </w:tc>
        <w:tc>
          <w:tcPr>
            <w:tcW w:w="1559" w:type="dxa"/>
          </w:tcPr>
          <w:p w14:paraId="3AC67BA7" w14:textId="3AE28FF1" w:rsidR="00C226FE" w:rsidRPr="00864899"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63313">
              <w:t>25%</w:t>
            </w:r>
          </w:p>
        </w:tc>
        <w:tc>
          <w:tcPr>
            <w:tcW w:w="1559" w:type="dxa"/>
            <w:vAlign w:val="bottom"/>
          </w:tcPr>
          <w:p w14:paraId="1833EDB6" w14:textId="10FFA76B" w:rsidR="00C226F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64899">
              <w:t>0.024</w:t>
            </w:r>
          </w:p>
        </w:tc>
        <w:tc>
          <w:tcPr>
            <w:tcW w:w="1560" w:type="dxa"/>
          </w:tcPr>
          <w:p w14:paraId="5DF549EB" w14:textId="4BF4D470" w:rsidR="00C226FE" w:rsidRPr="00864899"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224169">
              <w:t>25%</w:t>
            </w:r>
          </w:p>
        </w:tc>
      </w:tr>
      <w:tr w:rsidR="00C226FE" w:rsidRPr="005204B9" w14:paraId="2750A9AC" w14:textId="2621B23C" w:rsidTr="0042575B">
        <w:tc>
          <w:tcPr>
            <w:cnfStyle w:val="001000000000" w:firstRow="0" w:lastRow="0" w:firstColumn="1" w:lastColumn="0" w:oddVBand="0" w:evenVBand="0" w:oddHBand="0" w:evenHBand="0" w:firstRowFirstColumn="0" w:firstRowLastColumn="0" w:lastRowFirstColumn="0" w:lastRowLastColumn="0"/>
            <w:tcW w:w="1559" w:type="dxa"/>
            <w:vAlign w:val="bottom"/>
          </w:tcPr>
          <w:p w14:paraId="1345CCE9" w14:textId="77777777" w:rsidR="00C226FE" w:rsidRDefault="00C226FE" w:rsidP="00656AF0">
            <w:pPr>
              <w:pStyle w:val="Table1"/>
              <w:rPr>
                <w:b w:val="0"/>
                <w:bCs w:val="0"/>
              </w:rPr>
            </w:pPr>
            <w:r w:rsidRPr="00864899">
              <w:t>2020</w:t>
            </w:r>
          </w:p>
        </w:tc>
        <w:tc>
          <w:tcPr>
            <w:tcW w:w="1559" w:type="dxa"/>
            <w:vAlign w:val="bottom"/>
          </w:tcPr>
          <w:p w14:paraId="77D2AFA1" w14:textId="77777777" w:rsidR="00C226F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64899">
              <w:t>0.021</w:t>
            </w:r>
          </w:p>
        </w:tc>
        <w:tc>
          <w:tcPr>
            <w:tcW w:w="1559" w:type="dxa"/>
          </w:tcPr>
          <w:p w14:paraId="0AD97F20" w14:textId="20B8E7EB" w:rsidR="00C226FE" w:rsidRPr="00864899"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63313">
              <w:t>25%</w:t>
            </w:r>
          </w:p>
        </w:tc>
        <w:tc>
          <w:tcPr>
            <w:tcW w:w="1559" w:type="dxa"/>
            <w:vAlign w:val="bottom"/>
          </w:tcPr>
          <w:p w14:paraId="68A89B09" w14:textId="6B828FF4" w:rsidR="00C226F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64899">
              <w:t>0.023</w:t>
            </w:r>
          </w:p>
        </w:tc>
        <w:tc>
          <w:tcPr>
            <w:tcW w:w="1560" w:type="dxa"/>
          </w:tcPr>
          <w:p w14:paraId="75BF76EB" w14:textId="0A86B07F" w:rsidR="00C226FE" w:rsidRPr="00864899"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224169">
              <w:t>25%</w:t>
            </w:r>
          </w:p>
        </w:tc>
      </w:tr>
      <w:tr w:rsidR="00C226FE" w:rsidRPr="005204B9" w14:paraId="3AA3FE63" w14:textId="4D420E61" w:rsidTr="0042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Align w:val="bottom"/>
          </w:tcPr>
          <w:p w14:paraId="5C89F98F" w14:textId="77777777" w:rsidR="00C226FE" w:rsidRDefault="00C226FE" w:rsidP="00656AF0">
            <w:pPr>
              <w:pStyle w:val="Table1"/>
              <w:rPr>
                <w:b w:val="0"/>
                <w:bCs w:val="0"/>
              </w:rPr>
            </w:pPr>
            <w:r w:rsidRPr="00864899">
              <w:t>2025</w:t>
            </w:r>
          </w:p>
        </w:tc>
        <w:tc>
          <w:tcPr>
            <w:tcW w:w="1559" w:type="dxa"/>
            <w:vAlign w:val="bottom"/>
          </w:tcPr>
          <w:p w14:paraId="3437C721" w14:textId="77777777" w:rsidR="00C226F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64899">
              <w:t>0.008</w:t>
            </w:r>
          </w:p>
        </w:tc>
        <w:tc>
          <w:tcPr>
            <w:tcW w:w="1559" w:type="dxa"/>
          </w:tcPr>
          <w:p w14:paraId="63C77A5B" w14:textId="70A5F444" w:rsidR="00C226FE" w:rsidRPr="00864899"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63313">
              <w:t>24%</w:t>
            </w:r>
          </w:p>
        </w:tc>
        <w:tc>
          <w:tcPr>
            <w:tcW w:w="1559" w:type="dxa"/>
            <w:vAlign w:val="bottom"/>
          </w:tcPr>
          <w:p w14:paraId="5ADF1135" w14:textId="54EEAF4A" w:rsidR="00C226F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64899">
              <w:t>0.015</w:t>
            </w:r>
          </w:p>
        </w:tc>
        <w:tc>
          <w:tcPr>
            <w:tcW w:w="1560" w:type="dxa"/>
          </w:tcPr>
          <w:p w14:paraId="7A2E8690" w14:textId="6C2DA983" w:rsidR="00C226FE" w:rsidRPr="00864899"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224169">
              <w:t>24%</w:t>
            </w:r>
          </w:p>
        </w:tc>
      </w:tr>
      <w:tr w:rsidR="00C226FE" w:rsidRPr="005204B9" w14:paraId="74CA2D49" w14:textId="65ED2EA8" w:rsidTr="0042575B">
        <w:tc>
          <w:tcPr>
            <w:cnfStyle w:val="001000000000" w:firstRow="0" w:lastRow="0" w:firstColumn="1" w:lastColumn="0" w:oddVBand="0" w:evenVBand="0" w:oddHBand="0" w:evenHBand="0" w:firstRowFirstColumn="0" w:firstRowLastColumn="0" w:lastRowFirstColumn="0" w:lastRowLastColumn="0"/>
            <w:tcW w:w="1559" w:type="dxa"/>
            <w:vAlign w:val="bottom"/>
          </w:tcPr>
          <w:p w14:paraId="4062F787" w14:textId="77777777" w:rsidR="00C226FE" w:rsidRDefault="00C226FE" w:rsidP="00656AF0">
            <w:pPr>
              <w:pStyle w:val="Table1"/>
              <w:rPr>
                <w:b w:val="0"/>
                <w:bCs w:val="0"/>
              </w:rPr>
            </w:pPr>
            <w:r w:rsidRPr="00864899">
              <w:t>2030</w:t>
            </w:r>
          </w:p>
        </w:tc>
        <w:tc>
          <w:tcPr>
            <w:tcW w:w="1559" w:type="dxa"/>
            <w:vAlign w:val="bottom"/>
          </w:tcPr>
          <w:p w14:paraId="2FBECE89" w14:textId="77777777" w:rsidR="00C226F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64899">
              <w:t>0.015</w:t>
            </w:r>
          </w:p>
        </w:tc>
        <w:tc>
          <w:tcPr>
            <w:tcW w:w="1559" w:type="dxa"/>
          </w:tcPr>
          <w:p w14:paraId="055FD9CC" w14:textId="2998C300" w:rsidR="00C226FE" w:rsidRPr="00864899"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63313">
              <w:t>23%</w:t>
            </w:r>
          </w:p>
        </w:tc>
        <w:tc>
          <w:tcPr>
            <w:tcW w:w="1559" w:type="dxa"/>
            <w:vAlign w:val="bottom"/>
          </w:tcPr>
          <w:p w14:paraId="4606251A" w14:textId="76ADD20B" w:rsidR="00C226FE"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864899">
              <w:t>0.026</w:t>
            </w:r>
          </w:p>
        </w:tc>
        <w:tc>
          <w:tcPr>
            <w:tcW w:w="1560" w:type="dxa"/>
          </w:tcPr>
          <w:p w14:paraId="5723D60C" w14:textId="2ECCFB54" w:rsidR="00C226FE" w:rsidRPr="00864899" w:rsidRDefault="00C226FE" w:rsidP="00656AF0">
            <w:pPr>
              <w:pStyle w:val="Table1"/>
              <w:cnfStyle w:val="000000000000" w:firstRow="0" w:lastRow="0" w:firstColumn="0" w:lastColumn="0" w:oddVBand="0" w:evenVBand="0" w:oddHBand="0" w:evenHBand="0" w:firstRowFirstColumn="0" w:firstRowLastColumn="0" w:lastRowFirstColumn="0" w:lastRowLastColumn="0"/>
            </w:pPr>
            <w:r w:rsidRPr="00224169">
              <w:t>23%</w:t>
            </w:r>
          </w:p>
        </w:tc>
      </w:tr>
      <w:tr w:rsidR="00C226FE" w:rsidRPr="005204B9" w14:paraId="2BDE4652" w14:textId="14D75D3C" w:rsidTr="0042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9" w:type="dxa"/>
            <w:vAlign w:val="bottom"/>
          </w:tcPr>
          <w:p w14:paraId="0B38375E" w14:textId="77777777" w:rsidR="00C226FE" w:rsidRDefault="00C226FE" w:rsidP="00656AF0">
            <w:pPr>
              <w:pStyle w:val="Table1"/>
              <w:rPr>
                <w:b w:val="0"/>
                <w:bCs w:val="0"/>
              </w:rPr>
            </w:pPr>
            <w:r w:rsidRPr="00864899">
              <w:t>2033</w:t>
            </w:r>
          </w:p>
        </w:tc>
        <w:tc>
          <w:tcPr>
            <w:tcW w:w="1559" w:type="dxa"/>
            <w:vAlign w:val="bottom"/>
          </w:tcPr>
          <w:p w14:paraId="06B0CFB8" w14:textId="77777777" w:rsidR="00C226F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64899">
              <w:t>0.026</w:t>
            </w:r>
          </w:p>
        </w:tc>
        <w:tc>
          <w:tcPr>
            <w:tcW w:w="1559" w:type="dxa"/>
          </w:tcPr>
          <w:p w14:paraId="4B4D1E9C" w14:textId="647D98DC" w:rsidR="00C226FE" w:rsidRPr="00864899"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63313">
              <w:t>23%</w:t>
            </w:r>
          </w:p>
        </w:tc>
        <w:tc>
          <w:tcPr>
            <w:tcW w:w="1559" w:type="dxa"/>
            <w:vAlign w:val="bottom"/>
          </w:tcPr>
          <w:p w14:paraId="481D6CA8" w14:textId="49332CDE" w:rsidR="00C226FE"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864899">
              <w:t>0.036</w:t>
            </w:r>
          </w:p>
        </w:tc>
        <w:tc>
          <w:tcPr>
            <w:tcW w:w="1560" w:type="dxa"/>
          </w:tcPr>
          <w:p w14:paraId="2520763A" w14:textId="08D29F5C" w:rsidR="00C226FE" w:rsidRPr="00864899" w:rsidRDefault="00C226FE" w:rsidP="00656AF0">
            <w:pPr>
              <w:pStyle w:val="Table1"/>
              <w:cnfStyle w:val="000000100000" w:firstRow="0" w:lastRow="0" w:firstColumn="0" w:lastColumn="0" w:oddVBand="0" w:evenVBand="0" w:oddHBand="1" w:evenHBand="0" w:firstRowFirstColumn="0" w:firstRowLastColumn="0" w:lastRowFirstColumn="0" w:lastRowLastColumn="0"/>
            </w:pPr>
            <w:r w:rsidRPr="00224169">
              <w:t>23%</w:t>
            </w:r>
          </w:p>
        </w:tc>
      </w:tr>
    </w:tbl>
    <w:p w14:paraId="093C70BD" w14:textId="4B367242" w:rsidR="00EF1D77" w:rsidRPr="001443E3" w:rsidRDefault="00EF1D77" w:rsidP="00EF1D77">
      <w:pPr>
        <w:pStyle w:val="Heading7"/>
      </w:pPr>
      <w:bookmarkStart w:id="69" w:name="_Ref355860418"/>
      <w:r>
        <w:t xml:space="preserve">Case </w:t>
      </w:r>
      <w:r w:rsidR="00C226FE">
        <w:t>5</w:t>
      </w:r>
      <w:r>
        <w:t>.  FOR of BRD, BRX and FBC</w:t>
      </w:r>
      <w:r>
        <w:rPr>
          <w:rFonts w:hint="eastAsia"/>
        </w:rPr>
        <w:t>’</w:t>
      </w:r>
      <w:r>
        <w:t>s Own Resources</w:t>
      </w:r>
      <w:bookmarkEnd w:id="69"/>
    </w:p>
    <w:p w14:paraId="6EBDB7EF" w14:textId="58F94C05" w:rsidR="00EF1D77" w:rsidRDefault="00EF1D77" w:rsidP="00EF1D77">
      <w:pPr>
        <w:rPr>
          <w:b/>
          <w:bCs/>
          <w:color w:val="4F81BD" w:themeColor="accent1"/>
          <w:sz w:val="20"/>
          <w:szCs w:val="18"/>
        </w:rPr>
      </w:pPr>
      <w:r>
        <w:rPr>
          <w:lang w:val="en-US"/>
        </w:rPr>
        <w:t xml:space="preserve">Similar to the previous case, in this case FOR of FBC’s own generators, as well as contracted capacity from BRD and BRX, were doubled from their assumed value in Case 0. </w:t>
      </w:r>
      <w:r w:rsidR="0042575B">
        <w:rPr>
          <w:lang w:val="en-US"/>
        </w:rPr>
        <w:t>T</w:t>
      </w:r>
      <w:r>
        <w:rPr>
          <w:lang w:val="en-US"/>
        </w:rPr>
        <w:t>his case confirms that even at doubled FOR, these generators’ reliability is still high and the resultant LOLEs still meet the target.</w:t>
      </w:r>
      <w:bookmarkStart w:id="70" w:name="_Toc355786982"/>
    </w:p>
    <w:p w14:paraId="7F462B48" w14:textId="4DD846D8" w:rsidR="00EF1D77" w:rsidRDefault="00EF1D77" w:rsidP="00EF1D77">
      <w:pPr>
        <w:pStyle w:val="TableHeading"/>
        <w:tabs>
          <w:tab w:val="center" w:pos="4680"/>
          <w:tab w:val="left" w:pos="7653"/>
        </w:tabs>
        <w:jc w:val="left"/>
      </w:pPr>
      <w:bookmarkStart w:id="71" w:name="_Toc383169312"/>
      <w:r>
        <w:tab/>
      </w:r>
      <w:bookmarkStart w:id="72" w:name="_Toc421190635"/>
      <w:r>
        <w:t>Table 3-</w:t>
      </w:r>
      <w:r w:rsidR="00A22B13">
        <w:t>7</w:t>
      </w:r>
      <w:r>
        <w:t xml:space="preserve">:  Case </w:t>
      </w:r>
      <w:r w:rsidR="00C226FE">
        <w:t xml:space="preserve">5 </w:t>
      </w:r>
      <w:r>
        <w:t xml:space="preserve">– </w:t>
      </w:r>
      <w:bookmarkEnd w:id="70"/>
      <w:r>
        <w:t>FOR of Own Resources</w:t>
      </w:r>
      <w:bookmarkEnd w:id="71"/>
      <w:bookmarkEnd w:id="72"/>
      <w:r>
        <w:tab/>
      </w:r>
    </w:p>
    <w:tbl>
      <w:tblPr>
        <w:tblStyle w:val="LightList-Accent11"/>
        <w:tblW w:w="10223" w:type="dxa"/>
        <w:tblLook w:val="04A0" w:firstRow="1" w:lastRow="0" w:firstColumn="1" w:lastColumn="0" w:noHBand="0" w:noVBand="1"/>
      </w:tblPr>
      <w:tblGrid>
        <w:gridCol w:w="617"/>
        <w:gridCol w:w="667"/>
        <w:gridCol w:w="667"/>
        <w:gridCol w:w="667"/>
        <w:gridCol w:w="667"/>
        <w:gridCol w:w="667"/>
        <w:gridCol w:w="667"/>
        <w:gridCol w:w="667"/>
        <w:gridCol w:w="667"/>
        <w:gridCol w:w="667"/>
        <w:gridCol w:w="667"/>
        <w:gridCol w:w="667"/>
        <w:gridCol w:w="667"/>
        <w:gridCol w:w="826"/>
        <w:gridCol w:w="776"/>
      </w:tblGrid>
      <w:tr w:rsidR="00C226FE" w:rsidRPr="00E24C3D" w14:paraId="68218A60" w14:textId="570002EB" w:rsidTr="0042575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617" w:type="dxa"/>
            <w:vAlign w:val="bottom"/>
          </w:tcPr>
          <w:p w14:paraId="41F752E1" w14:textId="77777777" w:rsidR="00C226FE" w:rsidRPr="00864899" w:rsidRDefault="00C226FE" w:rsidP="00656AF0">
            <w:pPr>
              <w:pStyle w:val="Table1"/>
            </w:pPr>
            <w:r w:rsidRPr="00864899">
              <w:t>Year</w:t>
            </w:r>
          </w:p>
        </w:tc>
        <w:tc>
          <w:tcPr>
            <w:tcW w:w="667" w:type="dxa"/>
            <w:vAlign w:val="bottom"/>
          </w:tcPr>
          <w:p w14:paraId="483366F7" w14:textId="77777777" w:rsidR="00C226FE" w:rsidRPr="00864899"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864899">
              <w:t>Jan</w:t>
            </w:r>
          </w:p>
        </w:tc>
        <w:tc>
          <w:tcPr>
            <w:tcW w:w="667" w:type="dxa"/>
            <w:vAlign w:val="bottom"/>
          </w:tcPr>
          <w:p w14:paraId="7701FAC7" w14:textId="77777777" w:rsidR="00C226FE" w:rsidRPr="00864899"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864899">
              <w:t>Feb</w:t>
            </w:r>
          </w:p>
        </w:tc>
        <w:tc>
          <w:tcPr>
            <w:tcW w:w="667" w:type="dxa"/>
            <w:vAlign w:val="bottom"/>
          </w:tcPr>
          <w:p w14:paraId="21FE9776" w14:textId="77777777" w:rsidR="00C226FE" w:rsidRPr="00864899"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864899">
              <w:t>Mar</w:t>
            </w:r>
          </w:p>
        </w:tc>
        <w:tc>
          <w:tcPr>
            <w:tcW w:w="667" w:type="dxa"/>
            <w:vAlign w:val="bottom"/>
          </w:tcPr>
          <w:p w14:paraId="3F054463" w14:textId="77777777" w:rsidR="00C226FE" w:rsidRPr="00864899"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864899">
              <w:t>Apr</w:t>
            </w:r>
          </w:p>
        </w:tc>
        <w:tc>
          <w:tcPr>
            <w:tcW w:w="667" w:type="dxa"/>
            <w:vAlign w:val="bottom"/>
          </w:tcPr>
          <w:p w14:paraId="481D5E7C" w14:textId="77777777" w:rsidR="00C226FE" w:rsidRPr="00864899"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864899">
              <w:t>May</w:t>
            </w:r>
          </w:p>
        </w:tc>
        <w:tc>
          <w:tcPr>
            <w:tcW w:w="667" w:type="dxa"/>
            <w:vAlign w:val="bottom"/>
          </w:tcPr>
          <w:p w14:paraId="29BE90B1" w14:textId="77777777" w:rsidR="00C226FE" w:rsidRPr="00864899"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864899">
              <w:t>Jun</w:t>
            </w:r>
          </w:p>
        </w:tc>
        <w:tc>
          <w:tcPr>
            <w:tcW w:w="667" w:type="dxa"/>
            <w:vAlign w:val="bottom"/>
          </w:tcPr>
          <w:p w14:paraId="0EC1A162" w14:textId="77777777" w:rsidR="00C226FE" w:rsidRPr="00864899"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864899">
              <w:t>Jul</w:t>
            </w:r>
          </w:p>
        </w:tc>
        <w:tc>
          <w:tcPr>
            <w:tcW w:w="667" w:type="dxa"/>
            <w:vAlign w:val="bottom"/>
          </w:tcPr>
          <w:p w14:paraId="3558E03A" w14:textId="77777777" w:rsidR="00C226FE" w:rsidRPr="00864899"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864899">
              <w:t>Aug</w:t>
            </w:r>
          </w:p>
        </w:tc>
        <w:tc>
          <w:tcPr>
            <w:tcW w:w="667" w:type="dxa"/>
            <w:vAlign w:val="bottom"/>
          </w:tcPr>
          <w:p w14:paraId="2D9EF0AE" w14:textId="77777777" w:rsidR="00C226FE" w:rsidRPr="00864899"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864899">
              <w:t>Sep</w:t>
            </w:r>
          </w:p>
        </w:tc>
        <w:tc>
          <w:tcPr>
            <w:tcW w:w="667" w:type="dxa"/>
            <w:vAlign w:val="bottom"/>
          </w:tcPr>
          <w:p w14:paraId="4584145C" w14:textId="77777777" w:rsidR="00C226FE" w:rsidRPr="00864899"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864899">
              <w:t>Oct</w:t>
            </w:r>
          </w:p>
        </w:tc>
        <w:tc>
          <w:tcPr>
            <w:tcW w:w="667" w:type="dxa"/>
            <w:vAlign w:val="bottom"/>
          </w:tcPr>
          <w:p w14:paraId="770DDC65" w14:textId="77777777" w:rsidR="00C226FE" w:rsidRPr="00864899"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864899">
              <w:t>Nov</w:t>
            </w:r>
          </w:p>
        </w:tc>
        <w:tc>
          <w:tcPr>
            <w:tcW w:w="667" w:type="dxa"/>
            <w:vAlign w:val="bottom"/>
          </w:tcPr>
          <w:p w14:paraId="69CCF9C3" w14:textId="77777777" w:rsidR="00C226FE" w:rsidRPr="00864899"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864899">
              <w:t>Dec</w:t>
            </w:r>
          </w:p>
        </w:tc>
        <w:tc>
          <w:tcPr>
            <w:tcW w:w="826" w:type="dxa"/>
            <w:vAlign w:val="bottom"/>
          </w:tcPr>
          <w:p w14:paraId="77969D68" w14:textId="77777777" w:rsidR="00C226FE" w:rsidRPr="00864899"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864899">
              <w:t>Annual</w:t>
            </w:r>
          </w:p>
        </w:tc>
        <w:tc>
          <w:tcPr>
            <w:tcW w:w="776" w:type="dxa"/>
          </w:tcPr>
          <w:p w14:paraId="367CD63A" w14:textId="3CEB7D84" w:rsidR="00C226FE" w:rsidRPr="00864899" w:rsidRDefault="00C226FE" w:rsidP="00656AF0">
            <w:pPr>
              <w:pStyle w:val="Table1"/>
              <w:cnfStyle w:val="100000000000" w:firstRow="1" w:lastRow="0" w:firstColumn="0" w:lastColumn="0" w:oddVBand="0" w:evenVBand="0" w:oddHBand="0" w:evenHBand="0" w:firstRowFirstColumn="0" w:firstRowLastColumn="0" w:lastRowFirstColumn="0" w:lastRowLastColumn="0"/>
            </w:pPr>
            <w:r w:rsidRPr="00D85545">
              <w:t>Winter PRM</w:t>
            </w:r>
          </w:p>
        </w:tc>
      </w:tr>
      <w:tr w:rsidR="00A349A7" w:rsidRPr="005204B9" w14:paraId="4EE7605D" w14:textId="6E333547" w:rsidTr="0042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69C67EC8" w14:textId="77777777" w:rsidR="00A349A7" w:rsidRPr="00864899" w:rsidRDefault="00A349A7" w:rsidP="00656AF0">
            <w:pPr>
              <w:pStyle w:val="Table1"/>
            </w:pPr>
            <w:r w:rsidRPr="00864899">
              <w:t>2014</w:t>
            </w:r>
          </w:p>
        </w:tc>
        <w:tc>
          <w:tcPr>
            <w:tcW w:w="667" w:type="dxa"/>
          </w:tcPr>
          <w:p w14:paraId="7EFAACCC"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71C40EC2"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09772409"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0.004</w:t>
            </w:r>
          </w:p>
        </w:tc>
        <w:tc>
          <w:tcPr>
            <w:tcW w:w="667" w:type="dxa"/>
          </w:tcPr>
          <w:p w14:paraId="3AAE34FA"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48332E24"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6E7DF451"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7112AE13"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74AD0968"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0.003</w:t>
            </w:r>
          </w:p>
        </w:tc>
        <w:tc>
          <w:tcPr>
            <w:tcW w:w="667" w:type="dxa"/>
          </w:tcPr>
          <w:p w14:paraId="2D4EDA63"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451CC854"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0.001</w:t>
            </w:r>
          </w:p>
        </w:tc>
        <w:tc>
          <w:tcPr>
            <w:tcW w:w="667" w:type="dxa"/>
          </w:tcPr>
          <w:p w14:paraId="7C3E197A"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75644ACA"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0.001</w:t>
            </w:r>
          </w:p>
        </w:tc>
        <w:tc>
          <w:tcPr>
            <w:tcW w:w="826" w:type="dxa"/>
          </w:tcPr>
          <w:p w14:paraId="23960FC3"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0.009</w:t>
            </w:r>
          </w:p>
        </w:tc>
        <w:tc>
          <w:tcPr>
            <w:tcW w:w="776" w:type="dxa"/>
          </w:tcPr>
          <w:p w14:paraId="3D8FC633" w14:textId="7A30728F"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413041">
              <w:t>27%</w:t>
            </w:r>
          </w:p>
        </w:tc>
      </w:tr>
      <w:tr w:rsidR="00A349A7" w:rsidRPr="005204B9" w14:paraId="61D8EE47" w14:textId="4FB37176" w:rsidTr="0042575B">
        <w:tc>
          <w:tcPr>
            <w:cnfStyle w:val="001000000000" w:firstRow="0" w:lastRow="0" w:firstColumn="1" w:lastColumn="0" w:oddVBand="0" w:evenVBand="0" w:oddHBand="0" w:evenHBand="0" w:firstRowFirstColumn="0" w:firstRowLastColumn="0" w:lastRowFirstColumn="0" w:lastRowLastColumn="0"/>
            <w:tcW w:w="617" w:type="dxa"/>
            <w:vAlign w:val="bottom"/>
          </w:tcPr>
          <w:p w14:paraId="1D68B64A" w14:textId="77777777" w:rsidR="00A349A7" w:rsidRPr="00864899" w:rsidRDefault="00A349A7" w:rsidP="00656AF0">
            <w:pPr>
              <w:pStyle w:val="Table1"/>
            </w:pPr>
            <w:r w:rsidRPr="00864899">
              <w:t>2015</w:t>
            </w:r>
          </w:p>
        </w:tc>
        <w:tc>
          <w:tcPr>
            <w:tcW w:w="667" w:type="dxa"/>
          </w:tcPr>
          <w:p w14:paraId="5525FAF1"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0.004</w:t>
            </w:r>
          </w:p>
        </w:tc>
        <w:tc>
          <w:tcPr>
            <w:tcW w:w="667" w:type="dxa"/>
          </w:tcPr>
          <w:p w14:paraId="2D18C306"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29FE7DFF"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0.015</w:t>
            </w:r>
          </w:p>
        </w:tc>
        <w:tc>
          <w:tcPr>
            <w:tcW w:w="667" w:type="dxa"/>
          </w:tcPr>
          <w:p w14:paraId="233457AF"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2A14A952"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75B072F9"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0.002</w:t>
            </w:r>
          </w:p>
        </w:tc>
        <w:tc>
          <w:tcPr>
            <w:tcW w:w="667" w:type="dxa"/>
          </w:tcPr>
          <w:p w14:paraId="0D379F8A"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29F025F5"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7CED0403"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2BBFE964"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7C69765E"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74EEFA91"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0.003</w:t>
            </w:r>
          </w:p>
        </w:tc>
        <w:tc>
          <w:tcPr>
            <w:tcW w:w="826" w:type="dxa"/>
          </w:tcPr>
          <w:p w14:paraId="0F0F87C9"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0.026</w:t>
            </w:r>
          </w:p>
        </w:tc>
        <w:tc>
          <w:tcPr>
            <w:tcW w:w="776" w:type="dxa"/>
          </w:tcPr>
          <w:p w14:paraId="32149B07" w14:textId="52813FEB"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413041">
              <w:t>27%</w:t>
            </w:r>
          </w:p>
        </w:tc>
      </w:tr>
      <w:tr w:rsidR="00A349A7" w:rsidRPr="005204B9" w14:paraId="59A63058" w14:textId="5B8C293E" w:rsidTr="0042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5A3A05D7" w14:textId="77777777" w:rsidR="00A349A7" w:rsidRPr="00864899" w:rsidRDefault="00A349A7" w:rsidP="00656AF0">
            <w:pPr>
              <w:pStyle w:val="Table1"/>
            </w:pPr>
            <w:r w:rsidRPr="00864899">
              <w:t>2016</w:t>
            </w:r>
          </w:p>
        </w:tc>
        <w:tc>
          <w:tcPr>
            <w:tcW w:w="667" w:type="dxa"/>
          </w:tcPr>
          <w:p w14:paraId="7EFEE018"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0.001</w:t>
            </w:r>
          </w:p>
        </w:tc>
        <w:tc>
          <w:tcPr>
            <w:tcW w:w="667" w:type="dxa"/>
          </w:tcPr>
          <w:p w14:paraId="12E7F481"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679BAF09"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0.002</w:t>
            </w:r>
          </w:p>
        </w:tc>
        <w:tc>
          <w:tcPr>
            <w:tcW w:w="667" w:type="dxa"/>
          </w:tcPr>
          <w:p w14:paraId="5A96D29F"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671AFC3F"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114BD89A"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0.001</w:t>
            </w:r>
          </w:p>
        </w:tc>
        <w:tc>
          <w:tcPr>
            <w:tcW w:w="667" w:type="dxa"/>
          </w:tcPr>
          <w:p w14:paraId="25C14C03"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038DCE2F"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722B924D"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0C987AC7"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50AADFDC"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465AE445"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0.006</w:t>
            </w:r>
          </w:p>
        </w:tc>
        <w:tc>
          <w:tcPr>
            <w:tcW w:w="826" w:type="dxa"/>
          </w:tcPr>
          <w:p w14:paraId="27F413BE"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0.010</w:t>
            </w:r>
          </w:p>
        </w:tc>
        <w:tc>
          <w:tcPr>
            <w:tcW w:w="776" w:type="dxa"/>
          </w:tcPr>
          <w:p w14:paraId="2B17173A" w14:textId="5295A736"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413041">
              <w:t>26%</w:t>
            </w:r>
          </w:p>
        </w:tc>
      </w:tr>
      <w:tr w:rsidR="00A349A7" w:rsidRPr="005204B9" w14:paraId="6A5BE5D5" w14:textId="2FE2CE88" w:rsidTr="0042575B">
        <w:tc>
          <w:tcPr>
            <w:cnfStyle w:val="001000000000" w:firstRow="0" w:lastRow="0" w:firstColumn="1" w:lastColumn="0" w:oddVBand="0" w:evenVBand="0" w:oddHBand="0" w:evenHBand="0" w:firstRowFirstColumn="0" w:firstRowLastColumn="0" w:lastRowFirstColumn="0" w:lastRowLastColumn="0"/>
            <w:tcW w:w="617" w:type="dxa"/>
            <w:vAlign w:val="bottom"/>
          </w:tcPr>
          <w:p w14:paraId="57999561" w14:textId="77777777" w:rsidR="00A349A7" w:rsidRPr="00864899" w:rsidRDefault="00A349A7" w:rsidP="00656AF0">
            <w:pPr>
              <w:pStyle w:val="Table1"/>
            </w:pPr>
            <w:r w:rsidRPr="00864899">
              <w:t>2017</w:t>
            </w:r>
          </w:p>
        </w:tc>
        <w:tc>
          <w:tcPr>
            <w:tcW w:w="667" w:type="dxa"/>
          </w:tcPr>
          <w:p w14:paraId="3A049C48"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5DEC3B2A"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4AA69F43"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7538A17B"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1897EB37"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17275674"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0.005</w:t>
            </w:r>
          </w:p>
        </w:tc>
        <w:tc>
          <w:tcPr>
            <w:tcW w:w="667" w:type="dxa"/>
          </w:tcPr>
          <w:p w14:paraId="5B2C5FD4"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506530FD"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5515461B"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2C2F5EBD"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305245D6"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5F4E0007"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0.006</w:t>
            </w:r>
          </w:p>
        </w:tc>
        <w:tc>
          <w:tcPr>
            <w:tcW w:w="826" w:type="dxa"/>
          </w:tcPr>
          <w:p w14:paraId="4E63EBDA"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0.014</w:t>
            </w:r>
          </w:p>
        </w:tc>
        <w:tc>
          <w:tcPr>
            <w:tcW w:w="776" w:type="dxa"/>
          </w:tcPr>
          <w:p w14:paraId="2B1A15AB" w14:textId="79F1EA2E"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413041">
              <w:t>26%</w:t>
            </w:r>
          </w:p>
        </w:tc>
      </w:tr>
      <w:tr w:rsidR="00A349A7" w:rsidRPr="005204B9" w14:paraId="766B9BB8" w14:textId="22BE07EE" w:rsidTr="0042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628CFBD6" w14:textId="77777777" w:rsidR="00A349A7" w:rsidRPr="00864899" w:rsidRDefault="00A349A7" w:rsidP="00656AF0">
            <w:pPr>
              <w:pStyle w:val="Table1"/>
            </w:pPr>
            <w:r w:rsidRPr="00864899">
              <w:t>2018</w:t>
            </w:r>
          </w:p>
        </w:tc>
        <w:tc>
          <w:tcPr>
            <w:tcW w:w="667" w:type="dxa"/>
          </w:tcPr>
          <w:p w14:paraId="55A62A51"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0.001</w:t>
            </w:r>
          </w:p>
        </w:tc>
        <w:tc>
          <w:tcPr>
            <w:tcW w:w="667" w:type="dxa"/>
          </w:tcPr>
          <w:p w14:paraId="62B23CA4"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0.001</w:t>
            </w:r>
          </w:p>
        </w:tc>
        <w:tc>
          <w:tcPr>
            <w:tcW w:w="667" w:type="dxa"/>
          </w:tcPr>
          <w:p w14:paraId="6ACD49E6"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6098F317"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0.003</w:t>
            </w:r>
          </w:p>
        </w:tc>
        <w:tc>
          <w:tcPr>
            <w:tcW w:w="667" w:type="dxa"/>
          </w:tcPr>
          <w:p w14:paraId="66B2A0FB"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0.007</w:t>
            </w:r>
          </w:p>
        </w:tc>
        <w:tc>
          <w:tcPr>
            <w:tcW w:w="667" w:type="dxa"/>
          </w:tcPr>
          <w:p w14:paraId="6DD69F0A"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0.005</w:t>
            </w:r>
          </w:p>
        </w:tc>
        <w:tc>
          <w:tcPr>
            <w:tcW w:w="667" w:type="dxa"/>
          </w:tcPr>
          <w:p w14:paraId="5DA02503"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0.004</w:t>
            </w:r>
          </w:p>
        </w:tc>
        <w:tc>
          <w:tcPr>
            <w:tcW w:w="667" w:type="dxa"/>
          </w:tcPr>
          <w:p w14:paraId="63B8D0F5"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44354449"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4A8972F8"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160C74C1"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76E7CFB9"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0.009</w:t>
            </w:r>
          </w:p>
        </w:tc>
        <w:tc>
          <w:tcPr>
            <w:tcW w:w="826" w:type="dxa"/>
          </w:tcPr>
          <w:p w14:paraId="3618F494"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0.030</w:t>
            </w:r>
          </w:p>
        </w:tc>
        <w:tc>
          <w:tcPr>
            <w:tcW w:w="776" w:type="dxa"/>
          </w:tcPr>
          <w:p w14:paraId="6F4301E3" w14:textId="55C8FBC0"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413041">
              <w:t>25%</w:t>
            </w:r>
          </w:p>
        </w:tc>
      </w:tr>
      <w:tr w:rsidR="00A349A7" w:rsidRPr="005204B9" w14:paraId="6ADCB403" w14:textId="78AC45CA" w:rsidTr="0042575B">
        <w:tc>
          <w:tcPr>
            <w:cnfStyle w:val="001000000000" w:firstRow="0" w:lastRow="0" w:firstColumn="1" w:lastColumn="0" w:oddVBand="0" w:evenVBand="0" w:oddHBand="0" w:evenHBand="0" w:firstRowFirstColumn="0" w:firstRowLastColumn="0" w:lastRowFirstColumn="0" w:lastRowLastColumn="0"/>
            <w:tcW w:w="617" w:type="dxa"/>
            <w:vAlign w:val="bottom"/>
          </w:tcPr>
          <w:p w14:paraId="1941C666" w14:textId="77777777" w:rsidR="00A349A7" w:rsidRPr="00864899" w:rsidRDefault="00A349A7" w:rsidP="00656AF0">
            <w:pPr>
              <w:pStyle w:val="Table1"/>
            </w:pPr>
            <w:r w:rsidRPr="00864899">
              <w:t>2019</w:t>
            </w:r>
          </w:p>
        </w:tc>
        <w:tc>
          <w:tcPr>
            <w:tcW w:w="667" w:type="dxa"/>
          </w:tcPr>
          <w:p w14:paraId="0B6507E8"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0.003</w:t>
            </w:r>
          </w:p>
        </w:tc>
        <w:tc>
          <w:tcPr>
            <w:tcW w:w="667" w:type="dxa"/>
          </w:tcPr>
          <w:p w14:paraId="3DED0262"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48813ECB"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2152DFBE"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035E4861"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0.004</w:t>
            </w:r>
          </w:p>
        </w:tc>
        <w:tc>
          <w:tcPr>
            <w:tcW w:w="667" w:type="dxa"/>
          </w:tcPr>
          <w:p w14:paraId="530B683C"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0.005</w:t>
            </w:r>
          </w:p>
        </w:tc>
        <w:tc>
          <w:tcPr>
            <w:tcW w:w="667" w:type="dxa"/>
          </w:tcPr>
          <w:p w14:paraId="77AAAC12"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0.003</w:t>
            </w:r>
          </w:p>
        </w:tc>
        <w:tc>
          <w:tcPr>
            <w:tcW w:w="667" w:type="dxa"/>
          </w:tcPr>
          <w:p w14:paraId="69982C6B"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0DECE4B5"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540EB371"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5306DF06"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49A6D560"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0.011</w:t>
            </w:r>
          </w:p>
        </w:tc>
        <w:tc>
          <w:tcPr>
            <w:tcW w:w="826" w:type="dxa"/>
          </w:tcPr>
          <w:p w14:paraId="2054A8CE"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0.027</w:t>
            </w:r>
          </w:p>
        </w:tc>
        <w:tc>
          <w:tcPr>
            <w:tcW w:w="776" w:type="dxa"/>
          </w:tcPr>
          <w:p w14:paraId="03FE5EFB" w14:textId="270F7301"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413041">
              <w:t>25%</w:t>
            </w:r>
          </w:p>
        </w:tc>
      </w:tr>
      <w:tr w:rsidR="00A349A7" w:rsidRPr="005204B9" w14:paraId="667D4E47" w14:textId="508E7BC1" w:rsidTr="0042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2FF2B460" w14:textId="77777777" w:rsidR="00A349A7" w:rsidRPr="00864899" w:rsidRDefault="00A349A7" w:rsidP="00656AF0">
            <w:pPr>
              <w:pStyle w:val="Table1"/>
            </w:pPr>
            <w:r w:rsidRPr="00864899">
              <w:t>2020</w:t>
            </w:r>
          </w:p>
        </w:tc>
        <w:tc>
          <w:tcPr>
            <w:tcW w:w="667" w:type="dxa"/>
          </w:tcPr>
          <w:p w14:paraId="0CFEA643"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0.003</w:t>
            </w:r>
          </w:p>
        </w:tc>
        <w:tc>
          <w:tcPr>
            <w:tcW w:w="667" w:type="dxa"/>
          </w:tcPr>
          <w:p w14:paraId="203D1496"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0.002</w:t>
            </w:r>
          </w:p>
        </w:tc>
        <w:tc>
          <w:tcPr>
            <w:tcW w:w="667" w:type="dxa"/>
          </w:tcPr>
          <w:p w14:paraId="624B7377"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0.002</w:t>
            </w:r>
          </w:p>
        </w:tc>
        <w:tc>
          <w:tcPr>
            <w:tcW w:w="667" w:type="dxa"/>
          </w:tcPr>
          <w:p w14:paraId="0399862F"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0.001</w:t>
            </w:r>
          </w:p>
        </w:tc>
        <w:tc>
          <w:tcPr>
            <w:tcW w:w="667" w:type="dxa"/>
          </w:tcPr>
          <w:p w14:paraId="33BD6668"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0.003</w:t>
            </w:r>
          </w:p>
        </w:tc>
        <w:tc>
          <w:tcPr>
            <w:tcW w:w="667" w:type="dxa"/>
          </w:tcPr>
          <w:p w14:paraId="040E7981"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0.004</w:t>
            </w:r>
          </w:p>
        </w:tc>
        <w:tc>
          <w:tcPr>
            <w:tcW w:w="667" w:type="dxa"/>
          </w:tcPr>
          <w:p w14:paraId="3A57F58C"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0.002</w:t>
            </w:r>
          </w:p>
        </w:tc>
        <w:tc>
          <w:tcPr>
            <w:tcW w:w="667" w:type="dxa"/>
          </w:tcPr>
          <w:p w14:paraId="5B73D1BA"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0541AC8F"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43859136"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7620A559"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5D743447"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0.005</w:t>
            </w:r>
          </w:p>
        </w:tc>
        <w:tc>
          <w:tcPr>
            <w:tcW w:w="826" w:type="dxa"/>
          </w:tcPr>
          <w:p w14:paraId="4E0665D4"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0.022</w:t>
            </w:r>
          </w:p>
        </w:tc>
        <w:tc>
          <w:tcPr>
            <w:tcW w:w="776" w:type="dxa"/>
          </w:tcPr>
          <w:p w14:paraId="052E7A47" w14:textId="3B0CDC20"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413041">
              <w:t>25%</w:t>
            </w:r>
          </w:p>
        </w:tc>
      </w:tr>
      <w:tr w:rsidR="00A349A7" w:rsidRPr="005204B9" w14:paraId="31E44201" w14:textId="63159D21" w:rsidTr="0042575B">
        <w:tc>
          <w:tcPr>
            <w:cnfStyle w:val="001000000000" w:firstRow="0" w:lastRow="0" w:firstColumn="1" w:lastColumn="0" w:oddVBand="0" w:evenVBand="0" w:oddHBand="0" w:evenHBand="0" w:firstRowFirstColumn="0" w:firstRowLastColumn="0" w:lastRowFirstColumn="0" w:lastRowLastColumn="0"/>
            <w:tcW w:w="617" w:type="dxa"/>
            <w:vAlign w:val="bottom"/>
          </w:tcPr>
          <w:p w14:paraId="7030F8F2" w14:textId="77777777" w:rsidR="00A349A7" w:rsidRPr="00864899" w:rsidRDefault="00A349A7" w:rsidP="00656AF0">
            <w:pPr>
              <w:pStyle w:val="Table1"/>
            </w:pPr>
            <w:r w:rsidRPr="00864899">
              <w:t>2025</w:t>
            </w:r>
          </w:p>
        </w:tc>
        <w:tc>
          <w:tcPr>
            <w:tcW w:w="667" w:type="dxa"/>
          </w:tcPr>
          <w:p w14:paraId="21CB3F1F"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0.003</w:t>
            </w:r>
          </w:p>
        </w:tc>
        <w:tc>
          <w:tcPr>
            <w:tcW w:w="667" w:type="dxa"/>
          </w:tcPr>
          <w:p w14:paraId="0D414E9F"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0.004</w:t>
            </w:r>
          </w:p>
        </w:tc>
        <w:tc>
          <w:tcPr>
            <w:tcW w:w="667" w:type="dxa"/>
          </w:tcPr>
          <w:p w14:paraId="1D71F2BF"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377A39B7"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67050163"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0.004</w:t>
            </w:r>
          </w:p>
        </w:tc>
        <w:tc>
          <w:tcPr>
            <w:tcW w:w="667" w:type="dxa"/>
          </w:tcPr>
          <w:p w14:paraId="46131FFC"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0.006</w:t>
            </w:r>
          </w:p>
        </w:tc>
        <w:tc>
          <w:tcPr>
            <w:tcW w:w="667" w:type="dxa"/>
          </w:tcPr>
          <w:p w14:paraId="66BEEB66"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455994A0"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18A79F89"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71A00356"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22ACFFC4"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61DCD00D"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0.006</w:t>
            </w:r>
          </w:p>
        </w:tc>
        <w:tc>
          <w:tcPr>
            <w:tcW w:w="826" w:type="dxa"/>
          </w:tcPr>
          <w:p w14:paraId="6F26785C"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0.025</w:t>
            </w:r>
          </w:p>
        </w:tc>
        <w:tc>
          <w:tcPr>
            <w:tcW w:w="776" w:type="dxa"/>
          </w:tcPr>
          <w:p w14:paraId="4F39E2B0" w14:textId="0EEEEF61"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413041">
              <w:t>24%</w:t>
            </w:r>
          </w:p>
        </w:tc>
      </w:tr>
      <w:tr w:rsidR="00A349A7" w:rsidRPr="005204B9" w14:paraId="652BFD4F" w14:textId="7ABA62C2" w:rsidTr="0042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1CC4FF73" w14:textId="77777777" w:rsidR="00A349A7" w:rsidRPr="00864899" w:rsidRDefault="00A349A7" w:rsidP="00656AF0">
            <w:pPr>
              <w:pStyle w:val="Table1"/>
            </w:pPr>
            <w:r w:rsidRPr="00864899">
              <w:t>2030</w:t>
            </w:r>
          </w:p>
        </w:tc>
        <w:tc>
          <w:tcPr>
            <w:tcW w:w="667" w:type="dxa"/>
          </w:tcPr>
          <w:p w14:paraId="4C88A582"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0.003</w:t>
            </w:r>
          </w:p>
        </w:tc>
        <w:tc>
          <w:tcPr>
            <w:tcW w:w="667" w:type="dxa"/>
          </w:tcPr>
          <w:p w14:paraId="3142580D"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0.002</w:t>
            </w:r>
          </w:p>
        </w:tc>
        <w:tc>
          <w:tcPr>
            <w:tcW w:w="667" w:type="dxa"/>
          </w:tcPr>
          <w:p w14:paraId="5938ACCF"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0.002</w:t>
            </w:r>
          </w:p>
        </w:tc>
        <w:tc>
          <w:tcPr>
            <w:tcW w:w="667" w:type="dxa"/>
          </w:tcPr>
          <w:p w14:paraId="6E4A62FA"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36C41299"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1B0A4223"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0.005</w:t>
            </w:r>
          </w:p>
        </w:tc>
        <w:tc>
          <w:tcPr>
            <w:tcW w:w="667" w:type="dxa"/>
          </w:tcPr>
          <w:p w14:paraId="73980849"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0.001</w:t>
            </w:r>
          </w:p>
        </w:tc>
        <w:tc>
          <w:tcPr>
            <w:tcW w:w="667" w:type="dxa"/>
          </w:tcPr>
          <w:p w14:paraId="2A82D4FA"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7831496B"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15DA7C78"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0.000</w:t>
            </w:r>
          </w:p>
        </w:tc>
        <w:tc>
          <w:tcPr>
            <w:tcW w:w="667" w:type="dxa"/>
          </w:tcPr>
          <w:p w14:paraId="79E5BEF6"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0.001</w:t>
            </w:r>
          </w:p>
        </w:tc>
        <w:tc>
          <w:tcPr>
            <w:tcW w:w="667" w:type="dxa"/>
          </w:tcPr>
          <w:p w14:paraId="7DDBEC7C"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0.018</w:t>
            </w:r>
          </w:p>
        </w:tc>
        <w:tc>
          <w:tcPr>
            <w:tcW w:w="826" w:type="dxa"/>
          </w:tcPr>
          <w:p w14:paraId="790C3A78" w14:textId="77777777"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864899">
              <w:t>0.032</w:t>
            </w:r>
          </w:p>
        </w:tc>
        <w:tc>
          <w:tcPr>
            <w:tcW w:w="776" w:type="dxa"/>
          </w:tcPr>
          <w:p w14:paraId="5B6BB119" w14:textId="7154E1E4" w:rsidR="00A349A7" w:rsidRPr="0086489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413041">
              <w:t>23%</w:t>
            </w:r>
          </w:p>
        </w:tc>
      </w:tr>
      <w:tr w:rsidR="00A349A7" w:rsidRPr="005204B9" w14:paraId="68DDA215" w14:textId="4D75F967" w:rsidTr="0042575B">
        <w:tc>
          <w:tcPr>
            <w:cnfStyle w:val="001000000000" w:firstRow="0" w:lastRow="0" w:firstColumn="1" w:lastColumn="0" w:oddVBand="0" w:evenVBand="0" w:oddHBand="0" w:evenHBand="0" w:firstRowFirstColumn="0" w:firstRowLastColumn="0" w:lastRowFirstColumn="0" w:lastRowLastColumn="0"/>
            <w:tcW w:w="617" w:type="dxa"/>
            <w:vAlign w:val="bottom"/>
          </w:tcPr>
          <w:p w14:paraId="63A1B94E" w14:textId="77777777" w:rsidR="00A349A7" w:rsidRPr="00864899" w:rsidRDefault="00A349A7" w:rsidP="00656AF0">
            <w:pPr>
              <w:pStyle w:val="Table1"/>
            </w:pPr>
            <w:r w:rsidRPr="00864899">
              <w:lastRenderedPageBreak/>
              <w:t>2033</w:t>
            </w:r>
          </w:p>
        </w:tc>
        <w:tc>
          <w:tcPr>
            <w:tcW w:w="667" w:type="dxa"/>
          </w:tcPr>
          <w:p w14:paraId="4E4EDDF8"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0.003</w:t>
            </w:r>
          </w:p>
        </w:tc>
        <w:tc>
          <w:tcPr>
            <w:tcW w:w="667" w:type="dxa"/>
          </w:tcPr>
          <w:p w14:paraId="42A65DDE"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0.005</w:t>
            </w:r>
          </w:p>
        </w:tc>
        <w:tc>
          <w:tcPr>
            <w:tcW w:w="667" w:type="dxa"/>
          </w:tcPr>
          <w:p w14:paraId="036BE146"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5CADE2D1"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15E34219"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4A6B6836"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0.011</w:t>
            </w:r>
          </w:p>
        </w:tc>
        <w:tc>
          <w:tcPr>
            <w:tcW w:w="667" w:type="dxa"/>
          </w:tcPr>
          <w:p w14:paraId="1589C320"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610F5E7E"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25A8E6A2"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5BA4AD0A"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0.000</w:t>
            </w:r>
          </w:p>
        </w:tc>
        <w:tc>
          <w:tcPr>
            <w:tcW w:w="667" w:type="dxa"/>
          </w:tcPr>
          <w:p w14:paraId="578F50D1"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0.001</w:t>
            </w:r>
          </w:p>
        </w:tc>
        <w:tc>
          <w:tcPr>
            <w:tcW w:w="667" w:type="dxa"/>
          </w:tcPr>
          <w:p w14:paraId="301C4941"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0.027</w:t>
            </w:r>
          </w:p>
        </w:tc>
        <w:tc>
          <w:tcPr>
            <w:tcW w:w="826" w:type="dxa"/>
          </w:tcPr>
          <w:p w14:paraId="48330899" w14:textId="77777777"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864899">
              <w:t>0.049</w:t>
            </w:r>
          </w:p>
        </w:tc>
        <w:tc>
          <w:tcPr>
            <w:tcW w:w="776" w:type="dxa"/>
          </w:tcPr>
          <w:p w14:paraId="41EDBEC8" w14:textId="7C607A2C" w:rsidR="00A349A7" w:rsidRPr="0086489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413041">
              <w:t>23%</w:t>
            </w:r>
          </w:p>
        </w:tc>
      </w:tr>
    </w:tbl>
    <w:p w14:paraId="199FEAEE" w14:textId="46895733" w:rsidR="00EF1D77" w:rsidRPr="001443E3" w:rsidRDefault="00EF1D77" w:rsidP="00EF1D77">
      <w:pPr>
        <w:pStyle w:val="Heading7"/>
      </w:pPr>
      <w:bookmarkStart w:id="73" w:name="_Ref355865681"/>
      <w:r>
        <w:t xml:space="preserve">Case </w:t>
      </w:r>
      <w:r w:rsidR="00A349A7">
        <w:t>6</w:t>
      </w:r>
      <w:r>
        <w:t>.  Firming up WAX surplus</w:t>
      </w:r>
      <w:bookmarkEnd w:id="73"/>
    </w:p>
    <w:p w14:paraId="27046422" w14:textId="73007ED6" w:rsidR="00EF1D77" w:rsidRDefault="00EF1D77" w:rsidP="00EF1D77">
      <w:pPr>
        <w:rPr>
          <w:lang w:val="en-US"/>
        </w:rPr>
      </w:pPr>
      <w:r>
        <w:rPr>
          <w:lang w:val="en-US"/>
        </w:rPr>
        <w:t xml:space="preserve">This case treated all WAX surplus </w:t>
      </w:r>
      <w:r w:rsidR="00A32563">
        <w:rPr>
          <w:lang w:val="en-US"/>
        </w:rPr>
        <w:t xml:space="preserve">as not </w:t>
      </w:r>
      <w:r w:rsidR="000C220F">
        <w:rPr>
          <w:lang w:val="en-US"/>
        </w:rPr>
        <w:t xml:space="preserve">available to assist meeting PRM requirements. </w:t>
      </w:r>
      <w:r>
        <w:rPr>
          <w:lang w:val="en-US"/>
        </w:rPr>
        <w:t xml:space="preserve">The system was still able to meet the LOLE target. </w:t>
      </w:r>
    </w:p>
    <w:p w14:paraId="6E82449D" w14:textId="081AFA05" w:rsidR="00EF1D77" w:rsidRDefault="00EF1D77" w:rsidP="00EF1D77">
      <w:pPr>
        <w:pStyle w:val="TableHeading"/>
      </w:pPr>
      <w:bookmarkStart w:id="74" w:name="_Ref355785436"/>
      <w:bookmarkStart w:id="75" w:name="_Toc383169313"/>
      <w:bookmarkStart w:id="76" w:name="_Toc421190636"/>
      <w:r w:rsidRPr="0043433F">
        <w:t>Table</w:t>
      </w:r>
      <w:r>
        <w:t xml:space="preserve"> </w:t>
      </w:r>
      <w:bookmarkEnd w:id="74"/>
      <w:r>
        <w:t>3-</w:t>
      </w:r>
      <w:r w:rsidR="00A22B13">
        <w:t>8</w:t>
      </w:r>
      <w:r>
        <w:t xml:space="preserve">:  LOLE in Case </w:t>
      </w:r>
      <w:r w:rsidR="00A349A7">
        <w:t xml:space="preserve">6 </w:t>
      </w:r>
      <w:r>
        <w:t xml:space="preserve">– </w:t>
      </w:r>
      <w:r w:rsidRPr="00F02D10">
        <w:t xml:space="preserve">Firming up WAX </w:t>
      </w:r>
      <w:r>
        <w:t>S</w:t>
      </w:r>
      <w:r w:rsidRPr="00F02D10">
        <w:t>urplus</w:t>
      </w:r>
      <w:bookmarkEnd w:id="75"/>
      <w:bookmarkEnd w:id="76"/>
    </w:p>
    <w:tbl>
      <w:tblPr>
        <w:tblStyle w:val="LightList-Accent11"/>
        <w:tblW w:w="10314" w:type="dxa"/>
        <w:tblLook w:val="04A0" w:firstRow="1" w:lastRow="0" w:firstColumn="1" w:lastColumn="0" w:noHBand="0" w:noVBand="1"/>
      </w:tblPr>
      <w:tblGrid>
        <w:gridCol w:w="617"/>
        <w:gridCol w:w="667"/>
        <w:gridCol w:w="667"/>
        <w:gridCol w:w="667"/>
        <w:gridCol w:w="667"/>
        <w:gridCol w:w="667"/>
        <w:gridCol w:w="667"/>
        <w:gridCol w:w="667"/>
        <w:gridCol w:w="667"/>
        <w:gridCol w:w="667"/>
        <w:gridCol w:w="667"/>
        <w:gridCol w:w="667"/>
        <w:gridCol w:w="667"/>
        <w:gridCol w:w="843"/>
        <w:gridCol w:w="850"/>
      </w:tblGrid>
      <w:tr w:rsidR="00A349A7" w:rsidRPr="00E24C3D" w14:paraId="39C1287A" w14:textId="556DC2A7" w:rsidTr="004257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168F3A31" w14:textId="77777777" w:rsidR="00A349A7" w:rsidRPr="00E24C3D" w:rsidRDefault="00A349A7" w:rsidP="00656AF0">
            <w:pPr>
              <w:pStyle w:val="Table1"/>
            </w:pPr>
            <w:r w:rsidRPr="00E24C3D">
              <w:t>Year</w:t>
            </w:r>
          </w:p>
        </w:tc>
        <w:tc>
          <w:tcPr>
            <w:tcW w:w="667" w:type="dxa"/>
            <w:vAlign w:val="bottom"/>
          </w:tcPr>
          <w:p w14:paraId="0FB826B9" w14:textId="77777777" w:rsidR="00A349A7" w:rsidRPr="00E24C3D" w:rsidRDefault="00A349A7" w:rsidP="00656AF0">
            <w:pPr>
              <w:pStyle w:val="Table1"/>
              <w:cnfStyle w:val="100000000000" w:firstRow="1" w:lastRow="0" w:firstColumn="0" w:lastColumn="0" w:oddVBand="0" w:evenVBand="0" w:oddHBand="0" w:evenHBand="0" w:firstRowFirstColumn="0" w:firstRowLastColumn="0" w:lastRowFirstColumn="0" w:lastRowLastColumn="0"/>
            </w:pPr>
            <w:r w:rsidRPr="00E24C3D">
              <w:t>Jan</w:t>
            </w:r>
          </w:p>
        </w:tc>
        <w:tc>
          <w:tcPr>
            <w:tcW w:w="667" w:type="dxa"/>
            <w:vAlign w:val="bottom"/>
          </w:tcPr>
          <w:p w14:paraId="26B22E2C" w14:textId="77777777" w:rsidR="00A349A7" w:rsidRPr="00E24C3D" w:rsidRDefault="00A349A7" w:rsidP="00656AF0">
            <w:pPr>
              <w:pStyle w:val="Table1"/>
              <w:cnfStyle w:val="100000000000" w:firstRow="1" w:lastRow="0" w:firstColumn="0" w:lastColumn="0" w:oddVBand="0" w:evenVBand="0" w:oddHBand="0" w:evenHBand="0" w:firstRowFirstColumn="0" w:firstRowLastColumn="0" w:lastRowFirstColumn="0" w:lastRowLastColumn="0"/>
            </w:pPr>
            <w:r w:rsidRPr="00E24C3D">
              <w:t>Feb</w:t>
            </w:r>
          </w:p>
        </w:tc>
        <w:tc>
          <w:tcPr>
            <w:tcW w:w="667" w:type="dxa"/>
            <w:vAlign w:val="bottom"/>
          </w:tcPr>
          <w:p w14:paraId="1CA212D9" w14:textId="77777777" w:rsidR="00A349A7" w:rsidRPr="00E24C3D" w:rsidRDefault="00A349A7" w:rsidP="00656AF0">
            <w:pPr>
              <w:pStyle w:val="Table1"/>
              <w:cnfStyle w:val="100000000000" w:firstRow="1" w:lastRow="0" w:firstColumn="0" w:lastColumn="0" w:oddVBand="0" w:evenVBand="0" w:oddHBand="0" w:evenHBand="0" w:firstRowFirstColumn="0" w:firstRowLastColumn="0" w:lastRowFirstColumn="0" w:lastRowLastColumn="0"/>
            </w:pPr>
            <w:r w:rsidRPr="00E24C3D">
              <w:t>Mar</w:t>
            </w:r>
          </w:p>
        </w:tc>
        <w:tc>
          <w:tcPr>
            <w:tcW w:w="667" w:type="dxa"/>
            <w:vAlign w:val="bottom"/>
          </w:tcPr>
          <w:p w14:paraId="10B9BF8A" w14:textId="77777777" w:rsidR="00A349A7" w:rsidRPr="00E24C3D" w:rsidRDefault="00A349A7" w:rsidP="00656AF0">
            <w:pPr>
              <w:pStyle w:val="Table1"/>
              <w:cnfStyle w:val="100000000000" w:firstRow="1" w:lastRow="0" w:firstColumn="0" w:lastColumn="0" w:oddVBand="0" w:evenVBand="0" w:oddHBand="0" w:evenHBand="0" w:firstRowFirstColumn="0" w:firstRowLastColumn="0" w:lastRowFirstColumn="0" w:lastRowLastColumn="0"/>
            </w:pPr>
            <w:r w:rsidRPr="00E24C3D">
              <w:t>Apr</w:t>
            </w:r>
          </w:p>
        </w:tc>
        <w:tc>
          <w:tcPr>
            <w:tcW w:w="667" w:type="dxa"/>
            <w:vAlign w:val="bottom"/>
          </w:tcPr>
          <w:p w14:paraId="40F5C728" w14:textId="77777777" w:rsidR="00A349A7" w:rsidRPr="00E24C3D" w:rsidRDefault="00A349A7" w:rsidP="00656AF0">
            <w:pPr>
              <w:pStyle w:val="Table1"/>
              <w:cnfStyle w:val="100000000000" w:firstRow="1" w:lastRow="0" w:firstColumn="0" w:lastColumn="0" w:oddVBand="0" w:evenVBand="0" w:oddHBand="0" w:evenHBand="0" w:firstRowFirstColumn="0" w:firstRowLastColumn="0" w:lastRowFirstColumn="0" w:lastRowLastColumn="0"/>
            </w:pPr>
            <w:r w:rsidRPr="00E24C3D">
              <w:t>May</w:t>
            </w:r>
          </w:p>
        </w:tc>
        <w:tc>
          <w:tcPr>
            <w:tcW w:w="667" w:type="dxa"/>
            <w:vAlign w:val="bottom"/>
          </w:tcPr>
          <w:p w14:paraId="2FE621F3" w14:textId="77777777" w:rsidR="00A349A7" w:rsidRPr="00E24C3D" w:rsidRDefault="00A349A7" w:rsidP="00656AF0">
            <w:pPr>
              <w:pStyle w:val="Table1"/>
              <w:cnfStyle w:val="100000000000" w:firstRow="1" w:lastRow="0" w:firstColumn="0" w:lastColumn="0" w:oddVBand="0" w:evenVBand="0" w:oddHBand="0" w:evenHBand="0" w:firstRowFirstColumn="0" w:firstRowLastColumn="0" w:lastRowFirstColumn="0" w:lastRowLastColumn="0"/>
            </w:pPr>
            <w:r w:rsidRPr="00E24C3D">
              <w:t>Jun</w:t>
            </w:r>
          </w:p>
        </w:tc>
        <w:tc>
          <w:tcPr>
            <w:tcW w:w="667" w:type="dxa"/>
            <w:vAlign w:val="bottom"/>
          </w:tcPr>
          <w:p w14:paraId="2AB127A4" w14:textId="77777777" w:rsidR="00A349A7" w:rsidRPr="00E24C3D" w:rsidRDefault="00A349A7" w:rsidP="00656AF0">
            <w:pPr>
              <w:pStyle w:val="Table1"/>
              <w:cnfStyle w:val="100000000000" w:firstRow="1" w:lastRow="0" w:firstColumn="0" w:lastColumn="0" w:oddVBand="0" w:evenVBand="0" w:oddHBand="0" w:evenHBand="0" w:firstRowFirstColumn="0" w:firstRowLastColumn="0" w:lastRowFirstColumn="0" w:lastRowLastColumn="0"/>
            </w:pPr>
            <w:r w:rsidRPr="00E24C3D">
              <w:t>Jul</w:t>
            </w:r>
          </w:p>
        </w:tc>
        <w:tc>
          <w:tcPr>
            <w:tcW w:w="667" w:type="dxa"/>
            <w:vAlign w:val="bottom"/>
          </w:tcPr>
          <w:p w14:paraId="694A998A" w14:textId="77777777" w:rsidR="00A349A7" w:rsidRPr="00E24C3D" w:rsidRDefault="00A349A7" w:rsidP="00656AF0">
            <w:pPr>
              <w:pStyle w:val="Table1"/>
              <w:cnfStyle w:val="100000000000" w:firstRow="1" w:lastRow="0" w:firstColumn="0" w:lastColumn="0" w:oddVBand="0" w:evenVBand="0" w:oddHBand="0" w:evenHBand="0" w:firstRowFirstColumn="0" w:firstRowLastColumn="0" w:lastRowFirstColumn="0" w:lastRowLastColumn="0"/>
            </w:pPr>
            <w:r w:rsidRPr="00E24C3D">
              <w:t>Aug</w:t>
            </w:r>
          </w:p>
        </w:tc>
        <w:tc>
          <w:tcPr>
            <w:tcW w:w="667" w:type="dxa"/>
            <w:vAlign w:val="bottom"/>
          </w:tcPr>
          <w:p w14:paraId="6DF1309A" w14:textId="77777777" w:rsidR="00A349A7" w:rsidRPr="00E24C3D" w:rsidRDefault="00A349A7" w:rsidP="00656AF0">
            <w:pPr>
              <w:pStyle w:val="Table1"/>
              <w:cnfStyle w:val="100000000000" w:firstRow="1" w:lastRow="0" w:firstColumn="0" w:lastColumn="0" w:oddVBand="0" w:evenVBand="0" w:oddHBand="0" w:evenHBand="0" w:firstRowFirstColumn="0" w:firstRowLastColumn="0" w:lastRowFirstColumn="0" w:lastRowLastColumn="0"/>
            </w:pPr>
            <w:r w:rsidRPr="00E24C3D">
              <w:t>Sep</w:t>
            </w:r>
          </w:p>
        </w:tc>
        <w:tc>
          <w:tcPr>
            <w:tcW w:w="667" w:type="dxa"/>
            <w:vAlign w:val="bottom"/>
          </w:tcPr>
          <w:p w14:paraId="58E26C3F" w14:textId="77777777" w:rsidR="00A349A7" w:rsidRPr="00E24C3D" w:rsidRDefault="00A349A7" w:rsidP="00656AF0">
            <w:pPr>
              <w:pStyle w:val="Table1"/>
              <w:cnfStyle w:val="100000000000" w:firstRow="1" w:lastRow="0" w:firstColumn="0" w:lastColumn="0" w:oddVBand="0" w:evenVBand="0" w:oddHBand="0" w:evenHBand="0" w:firstRowFirstColumn="0" w:firstRowLastColumn="0" w:lastRowFirstColumn="0" w:lastRowLastColumn="0"/>
            </w:pPr>
            <w:r w:rsidRPr="00E24C3D">
              <w:t>Oct</w:t>
            </w:r>
          </w:p>
        </w:tc>
        <w:tc>
          <w:tcPr>
            <w:tcW w:w="667" w:type="dxa"/>
            <w:vAlign w:val="bottom"/>
          </w:tcPr>
          <w:p w14:paraId="015F80BC" w14:textId="77777777" w:rsidR="00A349A7" w:rsidRPr="00E24C3D" w:rsidRDefault="00A349A7" w:rsidP="00656AF0">
            <w:pPr>
              <w:pStyle w:val="Table1"/>
              <w:cnfStyle w:val="100000000000" w:firstRow="1" w:lastRow="0" w:firstColumn="0" w:lastColumn="0" w:oddVBand="0" w:evenVBand="0" w:oddHBand="0" w:evenHBand="0" w:firstRowFirstColumn="0" w:firstRowLastColumn="0" w:lastRowFirstColumn="0" w:lastRowLastColumn="0"/>
            </w:pPr>
            <w:r w:rsidRPr="00E24C3D">
              <w:t>Nov</w:t>
            </w:r>
          </w:p>
        </w:tc>
        <w:tc>
          <w:tcPr>
            <w:tcW w:w="667" w:type="dxa"/>
            <w:vAlign w:val="bottom"/>
          </w:tcPr>
          <w:p w14:paraId="47DA6997" w14:textId="77777777" w:rsidR="00A349A7" w:rsidRPr="00E24C3D" w:rsidRDefault="00A349A7" w:rsidP="00656AF0">
            <w:pPr>
              <w:pStyle w:val="Table1"/>
              <w:cnfStyle w:val="100000000000" w:firstRow="1" w:lastRow="0" w:firstColumn="0" w:lastColumn="0" w:oddVBand="0" w:evenVBand="0" w:oddHBand="0" w:evenHBand="0" w:firstRowFirstColumn="0" w:firstRowLastColumn="0" w:lastRowFirstColumn="0" w:lastRowLastColumn="0"/>
            </w:pPr>
            <w:r w:rsidRPr="00E24C3D">
              <w:t>Dec</w:t>
            </w:r>
          </w:p>
        </w:tc>
        <w:tc>
          <w:tcPr>
            <w:tcW w:w="843" w:type="dxa"/>
            <w:vAlign w:val="bottom"/>
          </w:tcPr>
          <w:p w14:paraId="21118FAA" w14:textId="77777777" w:rsidR="00A349A7" w:rsidRPr="00E24C3D" w:rsidRDefault="00A349A7" w:rsidP="00656AF0">
            <w:pPr>
              <w:pStyle w:val="Table1"/>
              <w:cnfStyle w:val="100000000000" w:firstRow="1" w:lastRow="0" w:firstColumn="0" w:lastColumn="0" w:oddVBand="0" w:evenVBand="0" w:oddHBand="0" w:evenHBand="0" w:firstRowFirstColumn="0" w:firstRowLastColumn="0" w:lastRowFirstColumn="0" w:lastRowLastColumn="0"/>
            </w:pPr>
            <w:r w:rsidRPr="00E24C3D">
              <w:t>Annual</w:t>
            </w:r>
          </w:p>
        </w:tc>
        <w:tc>
          <w:tcPr>
            <w:tcW w:w="850" w:type="dxa"/>
          </w:tcPr>
          <w:p w14:paraId="41CBD6C9" w14:textId="696E7140" w:rsidR="00A349A7" w:rsidRPr="00E24C3D" w:rsidRDefault="00A349A7" w:rsidP="00656AF0">
            <w:pPr>
              <w:pStyle w:val="Table1"/>
              <w:cnfStyle w:val="100000000000" w:firstRow="1" w:lastRow="0" w:firstColumn="0" w:lastColumn="0" w:oddVBand="0" w:evenVBand="0" w:oddHBand="0" w:evenHBand="0" w:firstRowFirstColumn="0" w:firstRowLastColumn="0" w:lastRowFirstColumn="0" w:lastRowLastColumn="0"/>
            </w:pPr>
            <w:r w:rsidRPr="00D85545">
              <w:t>Winter PRM</w:t>
            </w:r>
          </w:p>
        </w:tc>
      </w:tr>
      <w:tr w:rsidR="00A349A7" w:rsidRPr="005204B9" w14:paraId="2DD5EEBF" w14:textId="7267296D" w:rsidTr="0042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423AA13E" w14:textId="77777777" w:rsidR="00A349A7" w:rsidRPr="005204B9" w:rsidRDefault="00A349A7" w:rsidP="00656AF0">
            <w:pPr>
              <w:pStyle w:val="Table1"/>
            </w:pPr>
            <w:r w:rsidRPr="005204B9">
              <w:t>2014</w:t>
            </w:r>
          </w:p>
        </w:tc>
        <w:tc>
          <w:tcPr>
            <w:tcW w:w="667" w:type="dxa"/>
          </w:tcPr>
          <w:p w14:paraId="5E48A7F4"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0.000</w:t>
            </w:r>
          </w:p>
        </w:tc>
        <w:tc>
          <w:tcPr>
            <w:tcW w:w="667" w:type="dxa"/>
          </w:tcPr>
          <w:p w14:paraId="24603314"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0.000</w:t>
            </w:r>
          </w:p>
        </w:tc>
        <w:tc>
          <w:tcPr>
            <w:tcW w:w="667" w:type="dxa"/>
          </w:tcPr>
          <w:p w14:paraId="19944E46"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0.003</w:t>
            </w:r>
          </w:p>
        </w:tc>
        <w:tc>
          <w:tcPr>
            <w:tcW w:w="667" w:type="dxa"/>
          </w:tcPr>
          <w:p w14:paraId="698B9C42"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0.000</w:t>
            </w:r>
          </w:p>
        </w:tc>
        <w:tc>
          <w:tcPr>
            <w:tcW w:w="667" w:type="dxa"/>
          </w:tcPr>
          <w:p w14:paraId="2BF67F19"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0.000</w:t>
            </w:r>
          </w:p>
        </w:tc>
        <w:tc>
          <w:tcPr>
            <w:tcW w:w="667" w:type="dxa"/>
          </w:tcPr>
          <w:p w14:paraId="2A76A3DF"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0.001</w:t>
            </w:r>
          </w:p>
        </w:tc>
        <w:tc>
          <w:tcPr>
            <w:tcW w:w="667" w:type="dxa"/>
          </w:tcPr>
          <w:p w14:paraId="247967EC"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0.003</w:t>
            </w:r>
          </w:p>
        </w:tc>
        <w:tc>
          <w:tcPr>
            <w:tcW w:w="667" w:type="dxa"/>
          </w:tcPr>
          <w:p w14:paraId="60948E44"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0.008</w:t>
            </w:r>
          </w:p>
        </w:tc>
        <w:tc>
          <w:tcPr>
            <w:tcW w:w="667" w:type="dxa"/>
          </w:tcPr>
          <w:p w14:paraId="3E22B61F"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0.000</w:t>
            </w:r>
          </w:p>
        </w:tc>
        <w:tc>
          <w:tcPr>
            <w:tcW w:w="667" w:type="dxa"/>
          </w:tcPr>
          <w:p w14:paraId="54B1A0EC"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0.000</w:t>
            </w:r>
          </w:p>
        </w:tc>
        <w:tc>
          <w:tcPr>
            <w:tcW w:w="667" w:type="dxa"/>
          </w:tcPr>
          <w:p w14:paraId="3D775986"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0.000</w:t>
            </w:r>
          </w:p>
        </w:tc>
        <w:tc>
          <w:tcPr>
            <w:tcW w:w="667" w:type="dxa"/>
          </w:tcPr>
          <w:p w14:paraId="26B230B7"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0.002</w:t>
            </w:r>
          </w:p>
        </w:tc>
        <w:tc>
          <w:tcPr>
            <w:tcW w:w="843" w:type="dxa"/>
          </w:tcPr>
          <w:p w14:paraId="1D039774"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0.017</w:t>
            </w:r>
          </w:p>
        </w:tc>
        <w:tc>
          <w:tcPr>
            <w:tcW w:w="850" w:type="dxa"/>
          </w:tcPr>
          <w:p w14:paraId="284742C1" w14:textId="3EEB7A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FF4825">
              <w:t>27%</w:t>
            </w:r>
          </w:p>
        </w:tc>
      </w:tr>
      <w:tr w:rsidR="00A349A7" w:rsidRPr="005204B9" w14:paraId="45BBD2D4" w14:textId="639B91DF" w:rsidTr="0042575B">
        <w:tc>
          <w:tcPr>
            <w:cnfStyle w:val="001000000000" w:firstRow="0" w:lastRow="0" w:firstColumn="1" w:lastColumn="0" w:oddVBand="0" w:evenVBand="0" w:oddHBand="0" w:evenHBand="0" w:firstRowFirstColumn="0" w:firstRowLastColumn="0" w:lastRowFirstColumn="0" w:lastRowLastColumn="0"/>
            <w:tcW w:w="617" w:type="dxa"/>
            <w:vAlign w:val="bottom"/>
          </w:tcPr>
          <w:p w14:paraId="0334D24F" w14:textId="77777777" w:rsidR="00A349A7" w:rsidRPr="005204B9" w:rsidRDefault="00A349A7" w:rsidP="00656AF0">
            <w:pPr>
              <w:pStyle w:val="Table1"/>
            </w:pPr>
            <w:r w:rsidRPr="005204B9">
              <w:t>2015</w:t>
            </w:r>
          </w:p>
        </w:tc>
        <w:tc>
          <w:tcPr>
            <w:tcW w:w="667" w:type="dxa"/>
          </w:tcPr>
          <w:p w14:paraId="1C74C7AA"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0.003</w:t>
            </w:r>
          </w:p>
        </w:tc>
        <w:tc>
          <w:tcPr>
            <w:tcW w:w="667" w:type="dxa"/>
          </w:tcPr>
          <w:p w14:paraId="471C899F"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0.001</w:t>
            </w:r>
          </w:p>
        </w:tc>
        <w:tc>
          <w:tcPr>
            <w:tcW w:w="667" w:type="dxa"/>
          </w:tcPr>
          <w:p w14:paraId="2CD86078"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0.017</w:t>
            </w:r>
          </w:p>
        </w:tc>
        <w:tc>
          <w:tcPr>
            <w:tcW w:w="667" w:type="dxa"/>
          </w:tcPr>
          <w:p w14:paraId="03F9AEEB"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0.000</w:t>
            </w:r>
          </w:p>
        </w:tc>
        <w:tc>
          <w:tcPr>
            <w:tcW w:w="667" w:type="dxa"/>
          </w:tcPr>
          <w:p w14:paraId="1CB82040"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0.000</w:t>
            </w:r>
          </w:p>
        </w:tc>
        <w:tc>
          <w:tcPr>
            <w:tcW w:w="667" w:type="dxa"/>
          </w:tcPr>
          <w:p w14:paraId="5EB9F789"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0.004</w:t>
            </w:r>
          </w:p>
        </w:tc>
        <w:tc>
          <w:tcPr>
            <w:tcW w:w="667" w:type="dxa"/>
          </w:tcPr>
          <w:p w14:paraId="1F5A3D21"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0.000</w:t>
            </w:r>
          </w:p>
        </w:tc>
        <w:tc>
          <w:tcPr>
            <w:tcW w:w="667" w:type="dxa"/>
          </w:tcPr>
          <w:p w14:paraId="63E7E637"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0.001</w:t>
            </w:r>
          </w:p>
        </w:tc>
        <w:tc>
          <w:tcPr>
            <w:tcW w:w="667" w:type="dxa"/>
          </w:tcPr>
          <w:p w14:paraId="5277B3E8"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0.000</w:t>
            </w:r>
          </w:p>
        </w:tc>
        <w:tc>
          <w:tcPr>
            <w:tcW w:w="667" w:type="dxa"/>
          </w:tcPr>
          <w:p w14:paraId="553DA2A6"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0.002</w:t>
            </w:r>
          </w:p>
        </w:tc>
        <w:tc>
          <w:tcPr>
            <w:tcW w:w="667" w:type="dxa"/>
          </w:tcPr>
          <w:p w14:paraId="38958C34"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0.002</w:t>
            </w:r>
          </w:p>
        </w:tc>
        <w:tc>
          <w:tcPr>
            <w:tcW w:w="667" w:type="dxa"/>
          </w:tcPr>
          <w:p w14:paraId="5C306ED2"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0.006</w:t>
            </w:r>
          </w:p>
        </w:tc>
        <w:tc>
          <w:tcPr>
            <w:tcW w:w="843" w:type="dxa"/>
          </w:tcPr>
          <w:p w14:paraId="49185684"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0.036</w:t>
            </w:r>
          </w:p>
        </w:tc>
        <w:tc>
          <w:tcPr>
            <w:tcW w:w="850" w:type="dxa"/>
          </w:tcPr>
          <w:p w14:paraId="23ADE351" w14:textId="460A84E8"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FF4825">
              <w:t>26%</w:t>
            </w:r>
          </w:p>
        </w:tc>
      </w:tr>
      <w:tr w:rsidR="00A349A7" w:rsidRPr="005204B9" w14:paraId="78C40985" w14:textId="1A98E397" w:rsidTr="0042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5193F6CA" w14:textId="77777777" w:rsidR="00A349A7" w:rsidRPr="005204B9" w:rsidRDefault="00A349A7" w:rsidP="00656AF0">
            <w:pPr>
              <w:pStyle w:val="Table1"/>
            </w:pPr>
            <w:r w:rsidRPr="005204B9">
              <w:t>2016</w:t>
            </w:r>
          </w:p>
        </w:tc>
        <w:tc>
          <w:tcPr>
            <w:tcW w:w="667" w:type="dxa"/>
          </w:tcPr>
          <w:p w14:paraId="346F932D"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0.004</w:t>
            </w:r>
          </w:p>
        </w:tc>
        <w:tc>
          <w:tcPr>
            <w:tcW w:w="667" w:type="dxa"/>
          </w:tcPr>
          <w:p w14:paraId="376DFF7D"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0.005</w:t>
            </w:r>
          </w:p>
        </w:tc>
        <w:tc>
          <w:tcPr>
            <w:tcW w:w="667" w:type="dxa"/>
          </w:tcPr>
          <w:p w14:paraId="11EF2598"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0.003</w:t>
            </w:r>
          </w:p>
        </w:tc>
        <w:tc>
          <w:tcPr>
            <w:tcW w:w="667" w:type="dxa"/>
          </w:tcPr>
          <w:p w14:paraId="1E820120"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0.000</w:t>
            </w:r>
          </w:p>
        </w:tc>
        <w:tc>
          <w:tcPr>
            <w:tcW w:w="667" w:type="dxa"/>
          </w:tcPr>
          <w:p w14:paraId="7C71F858"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0.000</w:t>
            </w:r>
          </w:p>
        </w:tc>
        <w:tc>
          <w:tcPr>
            <w:tcW w:w="667" w:type="dxa"/>
          </w:tcPr>
          <w:p w14:paraId="3B51525D"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0.002</w:t>
            </w:r>
          </w:p>
        </w:tc>
        <w:tc>
          <w:tcPr>
            <w:tcW w:w="667" w:type="dxa"/>
          </w:tcPr>
          <w:p w14:paraId="39D18025"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0.001</w:t>
            </w:r>
          </w:p>
        </w:tc>
        <w:tc>
          <w:tcPr>
            <w:tcW w:w="667" w:type="dxa"/>
          </w:tcPr>
          <w:p w14:paraId="352DD46C"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0.002</w:t>
            </w:r>
          </w:p>
        </w:tc>
        <w:tc>
          <w:tcPr>
            <w:tcW w:w="667" w:type="dxa"/>
          </w:tcPr>
          <w:p w14:paraId="3A3B09ED"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0.000</w:t>
            </w:r>
          </w:p>
        </w:tc>
        <w:tc>
          <w:tcPr>
            <w:tcW w:w="667" w:type="dxa"/>
          </w:tcPr>
          <w:p w14:paraId="05F8A902"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0.001</w:t>
            </w:r>
          </w:p>
        </w:tc>
        <w:tc>
          <w:tcPr>
            <w:tcW w:w="667" w:type="dxa"/>
          </w:tcPr>
          <w:p w14:paraId="2F787863"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0.002</w:t>
            </w:r>
          </w:p>
        </w:tc>
        <w:tc>
          <w:tcPr>
            <w:tcW w:w="667" w:type="dxa"/>
          </w:tcPr>
          <w:p w14:paraId="3BAF2C75"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0.000</w:t>
            </w:r>
          </w:p>
        </w:tc>
        <w:tc>
          <w:tcPr>
            <w:tcW w:w="843" w:type="dxa"/>
          </w:tcPr>
          <w:p w14:paraId="4A494AB6"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0.020</w:t>
            </w:r>
          </w:p>
        </w:tc>
        <w:tc>
          <w:tcPr>
            <w:tcW w:w="850" w:type="dxa"/>
          </w:tcPr>
          <w:p w14:paraId="6952EC52" w14:textId="487698BB"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FF4825">
              <w:t>26%</w:t>
            </w:r>
          </w:p>
        </w:tc>
      </w:tr>
      <w:tr w:rsidR="00A349A7" w:rsidRPr="005204B9" w14:paraId="405B99E9" w14:textId="552200E0" w:rsidTr="0042575B">
        <w:tc>
          <w:tcPr>
            <w:cnfStyle w:val="001000000000" w:firstRow="0" w:lastRow="0" w:firstColumn="1" w:lastColumn="0" w:oddVBand="0" w:evenVBand="0" w:oddHBand="0" w:evenHBand="0" w:firstRowFirstColumn="0" w:firstRowLastColumn="0" w:lastRowFirstColumn="0" w:lastRowLastColumn="0"/>
            <w:tcW w:w="617" w:type="dxa"/>
            <w:vAlign w:val="bottom"/>
          </w:tcPr>
          <w:p w14:paraId="13AE389E" w14:textId="77777777" w:rsidR="00A349A7" w:rsidRPr="005204B9" w:rsidRDefault="00A349A7" w:rsidP="00656AF0">
            <w:pPr>
              <w:pStyle w:val="Table1"/>
            </w:pPr>
            <w:r w:rsidRPr="005204B9">
              <w:t>2017</w:t>
            </w:r>
          </w:p>
        </w:tc>
        <w:tc>
          <w:tcPr>
            <w:tcW w:w="667" w:type="dxa"/>
          </w:tcPr>
          <w:p w14:paraId="1DBEBE45"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0.002</w:t>
            </w:r>
          </w:p>
        </w:tc>
        <w:tc>
          <w:tcPr>
            <w:tcW w:w="667" w:type="dxa"/>
          </w:tcPr>
          <w:p w14:paraId="399631BC"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0.005</w:t>
            </w:r>
          </w:p>
        </w:tc>
        <w:tc>
          <w:tcPr>
            <w:tcW w:w="667" w:type="dxa"/>
          </w:tcPr>
          <w:p w14:paraId="51FEDCE0"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0.001</w:t>
            </w:r>
          </w:p>
        </w:tc>
        <w:tc>
          <w:tcPr>
            <w:tcW w:w="667" w:type="dxa"/>
          </w:tcPr>
          <w:p w14:paraId="396C6693"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0.000</w:t>
            </w:r>
          </w:p>
        </w:tc>
        <w:tc>
          <w:tcPr>
            <w:tcW w:w="667" w:type="dxa"/>
          </w:tcPr>
          <w:p w14:paraId="0EA7F025"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0.000</w:t>
            </w:r>
          </w:p>
        </w:tc>
        <w:tc>
          <w:tcPr>
            <w:tcW w:w="667" w:type="dxa"/>
          </w:tcPr>
          <w:p w14:paraId="5BB46DA4"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0.000</w:t>
            </w:r>
          </w:p>
        </w:tc>
        <w:tc>
          <w:tcPr>
            <w:tcW w:w="667" w:type="dxa"/>
          </w:tcPr>
          <w:p w14:paraId="33DF213E"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0.001</w:t>
            </w:r>
          </w:p>
        </w:tc>
        <w:tc>
          <w:tcPr>
            <w:tcW w:w="667" w:type="dxa"/>
          </w:tcPr>
          <w:p w14:paraId="120B1A3F"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0.003</w:t>
            </w:r>
          </w:p>
        </w:tc>
        <w:tc>
          <w:tcPr>
            <w:tcW w:w="667" w:type="dxa"/>
          </w:tcPr>
          <w:p w14:paraId="4EFAAABE"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0.000</w:t>
            </w:r>
          </w:p>
        </w:tc>
        <w:tc>
          <w:tcPr>
            <w:tcW w:w="667" w:type="dxa"/>
          </w:tcPr>
          <w:p w14:paraId="01751C49"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0.001</w:t>
            </w:r>
          </w:p>
        </w:tc>
        <w:tc>
          <w:tcPr>
            <w:tcW w:w="667" w:type="dxa"/>
          </w:tcPr>
          <w:p w14:paraId="04CAC728"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0.000</w:t>
            </w:r>
          </w:p>
        </w:tc>
        <w:tc>
          <w:tcPr>
            <w:tcW w:w="667" w:type="dxa"/>
          </w:tcPr>
          <w:p w14:paraId="72470A91"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0.003</w:t>
            </w:r>
          </w:p>
        </w:tc>
        <w:tc>
          <w:tcPr>
            <w:tcW w:w="843" w:type="dxa"/>
          </w:tcPr>
          <w:p w14:paraId="2A6D5B7D"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0.016</w:t>
            </w:r>
          </w:p>
        </w:tc>
        <w:tc>
          <w:tcPr>
            <w:tcW w:w="850" w:type="dxa"/>
          </w:tcPr>
          <w:p w14:paraId="3228379A" w14:textId="6408A8E5"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FF4825">
              <w:t>26%</w:t>
            </w:r>
          </w:p>
        </w:tc>
      </w:tr>
      <w:tr w:rsidR="00A349A7" w:rsidRPr="005204B9" w14:paraId="09391148" w14:textId="532C5021" w:rsidTr="0042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152C4EC6" w14:textId="77777777" w:rsidR="00A349A7" w:rsidRPr="005204B9" w:rsidRDefault="00A349A7" w:rsidP="00656AF0">
            <w:pPr>
              <w:pStyle w:val="Table1"/>
            </w:pPr>
            <w:r w:rsidRPr="005204B9">
              <w:t>2018</w:t>
            </w:r>
          </w:p>
        </w:tc>
        <w:tc>
          <w:tcPr>
            <w:tcW w:w="667" w:type="dxa"/>
          </w:tcPr>
          <w:p w14:paraId="5FD6AE36"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0.002</w:t>
            </w:r>
          </w:p>
        </w:tc>
        <w:tc>
          <w:tcPr>
            <w:tcW w:w="667" w:type="dxa"/>
          </w:tcPr>
          <w:p w14:paraId="49E634DE"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0.001</w:t>
            </w:r>
          </w:p>
        </w:tc>
        <w:tc>
          <w:tcPr>
            <w:tcW w:w="667" w:type="dxa"/>
          </w:tcPr>
          <w:p w14:paraId="1F870E07"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0.003</w:t>
            </w:r>
          </w:p>
        </w:tc>
        <w:tc>
          <w:tcPr>
            <w:tcW w:w="667" w:type="dxa"/>
          </w:tcPr>
          <w:p w14:paraId="1B31F32B"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0.002</w:t>
            </w:r>
          </w:p>
        </w:tc>
        <w:tc>
          <w:tcPr>
            <w:tcW w:w="667" w:type="dxa"/>
          </w:tcPr>
          <w:p w14:paraId="664A7D2E"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0.003</w:t>
            </w:r>
          </w:p>
        </w:tc>
        <w:tc>
          <w:tcPr>
            <w:tcW w:w="667" w:type="dxa"/>
          </w:tcPr>
          <w:p w14:paraId="52B12F44"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0.004</w:t>
            </w:r>
          </w:p>
        </w:tc>
        <w:tc>
          <w:tcPr>
            <w:tcW w:w="667" w:type="dxa"/>
          </w:tcPr>
          <w:p w14:paraId="726F3092"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0.000</w:t>
            </w:r>
          </w:p>
        </w:tc>
        <w:tc>
          <w:tcPr>
            <w:tcW w:w="667" w:type="dxa"/>
          </w:tcPr>
          <w:p w14:paraId="2EA74E52"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0.004</w:t>
            </w:r>
          </w:p>
        </w:tc>
        <w:tc>
          <w:tcPr>
            <w:tcW w:w="667" w:type="dxa"/>
          </w:tcPr>
          <w:p w14:paraId="63746E3D"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0.000</w:t>
            </w:r>
          </w:p>
        </w:tc>
        <w:tc>
          <w:tcPr>
            <w:tcW w:w="667" w:type="dxa"/>
          </w:tcPr>
          <w:p w14:paraId="04B5FAD2"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0.000</w:t>
            </w:r>
          </w:p>
        </w:tc>
        <w:tc>
          <w:tcPr>
            <w:tcW w:w="667" w:type="dxa"/>
          </w:tcPr>
          <w:p w14:paraId="546409E7"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0.000</w:t>
            </w:r>
          </w:p>
        </w:tc>
        <w:tc>
          <w:tcPr>
            <w:tcW w:w="667" w:type="dxa"/>
          </w:tcPr>
          <w:p w14:paraId="1CDCC4ED"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0.006</w:t>
            </w:r>
          </w:p>
        </w:tc>
        <w:tc>
          <w:tcPr>
            <w:tcW w:w="843" w:type="dxa"/>
          </w:tcPr>
          <w:p w14:paraId="5C7B820D"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0.025</w:t>
            </w:r>
          </w:p>
        </w:tc>
        <w:tc>
          <w:tcPr>
            <w:tcW w:w="850" w:type="dxa"/>
          </w:tcPr>
          <w:p w14:paraId="66BF8242" w14:textId="4568E8EB"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FF4825">
              <w:t>25%</w:t>
            </w:r>
          </w:p>
        </w:tc>
      </w:tr>
      <w:tr w:rsidR="00A349A7" w:rsidRPr="005204B9" w14:paraId="0CA4122E" w14:textId="4D493B87" w:rsidTr="0042575B">
        <w:tc>
          <w:tcPr>
            <w:cnfStyle w:val="001000000000" w:firstRow="0" w:lastRow="0" w:firstColumn="1" w:lastColumn="0" w:oddVBand="0" w:evenVBand="0" w:oddHBand="0" w:evenHBand="0" w:firstRowFirstColumn="0" w:firstRowLastColumn="0" w:lastRowFirstColumn="0" w:lastRowLastColumn="0"/>
            <w:tcW w:w="617" w:type="dxa"/>
            <w:vAlign w:val="bottom"/>
          </w:tcPr>
          <w:p w14:paraId="6D58A17D" w14:textId="77777777" w:rsidR="00A349A7" w:rsidRPr="005204B9" w:rsidRDefault="00A349A7" w:rsidP="00656AF0">
            <w:pPr>
              <w:pStyle w:val="Table1"/>
            </w:pPr>
            <w:r w:rsidRPr="005204B9">
              <w:t>2019</w:t>
            </w:r>
          </w:p>
        </w:tc>
        <w:tc>
          <w:tcPr>
            <w:tcW w:w="667" w:type="dxa"/>
          </w:tcPr>
          <w:p w14:paraId="7C382A4C"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0.001</w:t>
            </w:r>
          </w:p>
        </w:tc>
        <w:tc>
          <w:tcPr>
            <w:tcW w:w="667" w:type="dxa"/>
          </w:tcPr>
          <w:p w14:paraId="11BBA969"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0.003</w:t>
            </w:r>
          </w:p>
        </w:tc>
        <w:tc>
          <w:tcPr>
            <w:tcW w:w="667" w:type="dxa"/>
          </w:tcPr>
          <w:p w14:paraId="675EE819"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0.002</w:t>
            </w:r>
          </w:p>
        </w:tc>
        <w:tc>
          <w:tcPr>
            <w:tcW w:w="667" w:type="dxa"/>
          </w:tcPr>
          <w:p w14:paraId="3EFB07CF"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0.000</w:t>
            </w:r>
          </w:p>
        </w:tc>
        <w:tc>
          <w:tcPr>
            <w:tcW w:w="667" w:type="dxa"/>
          </w:tcPr>
          <w:p w14:paraId="3F676C49"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0.005</w:t>
            </w:r>
          </w:p>
        </w:tc>
        <w:tc>
          <w:tcPr>
            <w:tcW w:w="667" w:type="dxa"/>
          </w:tcPr>
          <w:p w14:paraId="7DB20F6C"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0.001</w:t>
            </w:r>
          </w:p>
        </w:tc>
        <w:tc>
          <w:tcPr>
            <w:tcW w:w="667" w:type="dxa"/>
          </w:tcPr>
          <w:p w14:paraId="33069972"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0.002</w:t>
            </w:r>
          </w:p>
        </w:tc>
        <w:tc>
          <w:tcPr>
            <w:tcW w:w="667" w:type="dxa"/>
          </w:tcPr>
          <w:p w14:paraId="1F3983F5"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0.006</w:t>
            </w:r>
          </w:p>
        </w:tc>
        <w:tc>
          <w:tcPr>
            <w:tcW w:w="667" w:type="dxa"/>
          </w:tcPr>
          <w:p w14:paraId="7C8803CD"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0.000</w:t>
            </w:r>
          </w:p>
        </w:tc>
        <w:tc>
          <w:tcPr>
            <w:tcW w:w="667" w:type="dxa"/>
          </w:tcPr>
          <w:p w14:paraId="0906B95A"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0.001</w:t>
            </w:r>
          </w:p>
        </w:tc>
        <w:tc>
          <w:tcPr>
            <w:tcW w:w="667" w:type="dxa"/>
          </w:tcPr>
          <w:p w14:paraId="62015822"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0.001</w:t>
            </w:r>
          </w:p>
        </w:tc>
        <w:tc>
          <w:tcPr>
            <w:tcW w:w="667" w:type="dxa"/>
          </w:tcPr>
          <w:p w14:paraId="689EF128"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0.006</w:t>
            </w:r>
          </w:p>
        </w:tc>
        <w:tc>
          <w:tcPr>
            <w:tcW w:w="843" w:type="dxa"/>
          </w:tcPr>
          <w:p w14:paraId="34967F72"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0.028</w:t>
            </w:r>
          </w:p>
        </w:tc>
        <w:tc>
          <w:tcPr>
            <w:tcW w:w="850" w:type="dxa"/>
          </w:tcPr>
          <w:p w14:paraId="6537A085" w14:textId="29DC7119"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FF4825">
              <w:t>25%</w:t>
            </w:r>
          </w:p>
        </w:tc>
      </w:tr>
      <w:tr w:rsidR="00A349A7" w:rsidRPr="005204B9" w14:paraId="17F446A6" w14:textId="230B48D8" w:rsidTr="0042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0D5A396B" w14:textId="77777777" w:rsidR="00A349A7" w:rsidRPr="005204B9" w:rsidRDefault="00A349A7" w:rsidP="00656AF0">
            <w:pPr>
              <w:pStyle w:val="Table1"/>
            </w:pPr>
            <w:r w:rsidRPr="005204B9">
              <w:t>2020</w:t>
            </w:r>
          </w:p>
        </w:tc>
        <w:tc>
          <w:tcPr>
            <w:tcW w:w="667" w:type="dxa"/>
          </w:tcPr>
          <w:p w14:paraId="59597504"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0.002</w:t>
            </w:r>
          </w:p>
        </w:tc>
        <w:tc>
          <w:tcPr>
            <w:tcW w:w="667" w:type="dxa"/>
          </w:tcPr>
          <w:p w14:paraId="57EB0EAA"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0.003</w:t>
            </w:r>
          </w:p>
        </w:tc>
        <w:tc>
          <w:tcPr>
            <w:tcW w:w="667" w:type="dxa"/>
          </w:tcPr>
          <w:p w14:paraId="6F9E8565"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0.003</w:t>
            </w:r>
          </w:p>
        </w:tc>
        <w:tc>
          <w:tcPr>
            <w:tcW w:w="667" w:type="dxa"/>
          </w:tcPr>
          <w:p w14:paraId="2F705446"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0.001</w:t>
            </w:r>
          </w:p>
        </w:tc>
        <w:tc>
          <w:tcPr>
            <w:tcW w:w="667" w:type="dxa"/>
          </w:tcPr>
          <w:p w14:paraId="035DE085"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0.002</w:t>
            </w:r>
          </w:p>
        </w:tc>
        <w:tc>
          <w:tcPr>
            <w:tcW w:w="667" w:type="dxa"/>
          </w:tcPr>
          <w:p w14:paraId="437AEEB0"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0.005</w:t>
            </w:r>
          </w:p>
        </w:tc>
        <w:tc>
          <w:tcPr>
            <w:tcW w:w="667" w:type="dxa"/>
          </w:tcPr>
          <w:p w14:paraId="5E239B65"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0.001</w:t>
            </w:r>
          </w:p>
        </w:tc>
        <w:tc>
          <w:tcPr>
            <w:tcW w:w="667" w:type="dxa"/>
          </w:tcPr>
          <w:p w14:paraId="170D5A25"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0.001</w:t>
            </w:r>
          </w:p>
        </w:tc>
        <w:tc>
          <w:tcPr>
            <w:tcW w:w="667" w:type="dxa"/>
          </w:tcPr>
          <w:p w14:paraId="7647F8DB"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0.000</w:t>
            </w:r>
          </w:p>
        </w:tc>
        <w:tc>
          <w:tcPr>
            <w:tcW w:w="667" w:type="dxa"/>
          </w:tcPr>
          <w:p w14:paraId="4222EB56"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0.000</w:t>
            </w:r>
          </w:p>
        </w:tc>
        <w:tc>
          <w:tcPr>
            <w:tcW w:w="667" w:type="dxa"/>
          </w:tcPr>
          <w:p w14:paraId="50AB0CCC"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0.002</w:t>
            </w:r>
          </w:p>
        </w:tc>
        <w:tc>
          <w:tcPr>
            <w:tcW w:w="667" w:type="dxa"/>
          </w:tcPr>
          <w:p w14:paraId="4D16BDAF"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0.006</w:t>
            </w:r>
          </w:p>
        </w:tc>
        <w:tc>
          <w:tcPr>
            <w:tcW w:w="843" w:type="dxa"/>
          </w:tcPr>
          <w:p w14:paraId="7C77B8AA"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0.026</w:t>
            </w:r>
          </w:p>
        </w:tc>
        <w:tc>
          <w:tcPr>
            <w:tcW w:w="850" w:type="dxa"/>
          </w:tcPr>
          <w:p w14:paraId="3FEABC03" w14:textId="53771E56"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FF4825">
              <w:t>25%</w:t>
            </w:r>
          </w:p>
        </w:tc>
      </w:tr>
      <w:tr w:rsidR="00A349A7" w:rsidRPr="005204B9" w14:paraId="69FB7687" w14:textId="3F2A5BC5" w:rsidTr="0042575B">
        <w:tc>
          <w:tcPr>
            <w:cnfStyle w:val="001000000000" w:firstRow="0" w:lastRow="0" w:firstColumn="1" w:lastColumn="0" w:oddVBand="0" w:evenVBand="0" w:oddHBand="0" w:evenHBand="0" w:firstRowFirstColumn="0" w:firstRowLastColumn="0" w:lastRowFirstColumn="0" w:lastRowLastColumn="0"/>
            <w:tcW w:w="617" w:type="dxa"/>
            <w:vAlign w:val="bottom"/>
          </w:tcPr>
          <w:p w14:paraId="11470F92" w14:textId="77777777" w:rsidR="00A349A7" w:rsidRPr="005204B9" w:rsidRDefault="00A349A7" w:rsidP="00656AF0">
            <w:pPr>
              <w:pStyle w:val="Table1"/>
            </w:pPr>
            <w:r w:rsidRPr="005204B9">
              <w:t>2025</w:t>
            </w:r>
          </w:p>
        </w:tc>
        <w:tc>
          <w:tcPr>
            <w:tcW w:w="667" w:type="dxa"/>
          </w:tcPr>
          <w:p w14:paraId="6E2D0F88"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0.003</w:t>
            </w:r>
          </w:p>
        </w:tc>
        <w:tc>
          <w:tcPr>
            <w:tcW w:w="667" w:type="dxa"/>
          </w:tcPr>
          <w:p w14:paraId="51B9B6C9"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0.003</w:t>
            </w:r>
          </w:p>
        </w:tc>
        <w:tc>
          <w:tcPr>
            <w:tcW w:w="667" w:type="dxa"/>
          </w:tcPr>
          <w:p w14:paraId="5CA629E4"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0.002</w:t>
            </w:r>
          </w:p>
        </w:tc>
        <w:tc>
          <w:tcPr>
            <w:tcW w:w="667" w:type="dxa"/>
          </w:tcPr>
          <w:p w14:paraId="6DA1E6BE"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0.000</w:t>
            </w:r>
          </w:p>
        </w:tc>
        <w:tc>
          <w:tcPr>
            <w:tcW w:w="667" w:type="dxa"/>
          </w:tcPr>
          <w:p w14:paraId="771DFBD5"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0.002</w:t>
            </w:r>
          </w:p>
        </w:tc>
        <w:tc>
          <w:tcPr>
            <w:tcW w:w="667" w:type="dxa"/>
          </w:tcPr>
          <w:p w14:paraId="54532179"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0.007</w:t>
            </w:r>
          </w:p>
        </w:tc>
        <w:tc>
          <w:tcPr>
            <w:tcW w:w="667" w:type="dxa"/>
          </w:tcPr>
          <w:p w14:paraId="14380BFB"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0.000</w:t>
            </w:r>
          </w:p>
        </w:tc>
        <w:tc>
          <w:tcPr>
            <w:tcW w:w="667" w:type="dxa"/>
          </w:tcPr>
          <w:p w14:paraId="45305AAC"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0.004</w:t>
            </w:r>
          </w:p>
        </w:tc>
        <w:tc>
          <w:tcPr>
            <w:tcW w:w="667" w:type="dxa"/>
          </w:tcPr>
          <w:p w14:paraId="6B13650E"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0.000</w:t>
            </w:r>
          </w:p>
        </w:tc>
        <w:tc>
          <w:tcPr>
            <w:tcW w:w="667" w:type="dxa"/>
          </w:tcPr>
          <w:p w14:paraId="6218AB7E"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0.001</w:t>
            </w:r>
          </w:p>
        </w:tc>
        <w:tc>
          <w:tcPr>
            <w:tcW w:w="667" w:type="dxa"/>
          </w:tcPr>
          <w:p w14:paraId="6777DFB5"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0.000</w:t>
            </w:r>
          </w:p>
        </w:tc>
        <w:tc>
          <w:tcPr>
            <w:tcW w:w="667" w:type="dxa"/>
          </w:tcPr>
          <w:p w14:paraId="7CCE01E9"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0.003</w:t>
            </w:r>
          </w:p>
        </w:tc>
        <w:tc>
          <w:tcPr>
            <w:tcW w:w="843" w:type="dxa"/>
          </w:tcPr>
          <w:p w14:paraId="062C3BB6"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0.025</w:t>
            </w:r>
          </w:p>
        </w:tc>
        <w:tc>
          <w:tcPr>
            <w:tcW w:w="850" w:type="dxa"/>
          </w:tcPr>
          <w:p w14:paraId="25EE5096" w14:textId="22B0DC75"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FF4825">
              <w:t>24%</w:t>
            </w:r>
          </w:p>
        </w:tc>
      </w:tr>
      <w:tr w:rsidR="00A349A7" w:rsidRPr="005204B9" w14:paraId="57259306" w14:textId="06A0EDBC" w:rsidTr="004257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17" w:type="dxa"/>
            <w:vAlign w:val="bottom"/>
          </w:tcPr>
          <w:p w14:paraId="6EFF08D5" w14:textId="77777777" w:rsidR="00A349A7" w:rsidRPr="005204B9" w:rsidRDefault="00A349A7" w:rsidP="00656AF0">
            <w:pPr>
              <w:pStyle w:val="Table1"/>
            </w:pPr>
            <w:r w:rsidRPr="005204B9">
              <w:t>2030</w:t>
            </w:r>
          </w:p>
        </w:tc>
        <w:tc>
          <w:tcPr>
            <w:tcW w:w="667" w:type="dxa"/>
          </w:tcPr>
          <w:p w14:paraId="4902D3E1"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0.004</w:t>
            </w:r>
          </w:p>
        </w:tc>
        <w:tc>
          <w:tcPr>
            <w:tcW w:w="667" w:type="dxa"/>
          </w:tcPr>
          <w:p w14:paraId="0C874C5D"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0.002</w:t>
            </w:r>
          </w:p>
        </w:tc>
        <w:tc>
          <w:tcPr>
            <w:tcW w:w="667" w:type="dxa"/>
          </w:tcPr>
          <w:p w14:paraId="3D89354C"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0.001</w:t>
            </w:r>
          </w:p>
        </w:tc>
        <w:tc>
          <w:tcPr>
            <w:tcW w:w="667" w:type="dxa"/>
          </w:tcPr>
          <w:p w14:paraId="53CE7036"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0.001</w:t>
            </w:r>
          </w:p>
        </w:tc>
        <w:tc>
          <w:tcPr>
            <w:tcW w:w="667" w:type="dxa"/>
          </w:tcPr>
          <w:p w14:paraId="31B3AC06"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0.002</w:t>
            </w:r>
          </w:p>
        </w:tc>
        <w:tc>
          <w:tcPr>
            <w:tcW w:w="667" w:type="dxa"/>
          </w:tcPr>
          <w:p w14:paraId="54DB24F1"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0.006</w:t>
            </w:r>
          </w:p>
        </w:tc>
        <w:tc>
          <w:tcPr>
            <w:tcW w:w="667" w:type="dxa"/>
          </w:tcPr>
          <w:p w14:paraId="76250551"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0.000</w:t>
            </w:r>
          </w:p>
        </w:tc>
        <w:tc>
          <w:tcPr>
            <w:tcW w:w="667" w:type="dxa"/>
          </w:tcPr>
          <w:p w14:paraId="0549F77B"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0.002</w:t>
            </w:r>
          </w:p>
        </w:tc>
        <w:tc>
          <w:tcPr>
            <w:tcW w:w="667" w:type="dxa"/>
          </w:tcPr>
          <w:p w14:paraId="01A7D153"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0.004</w:t>
            </w:r>
          </w:p>
        </w:tc>
        <w:tc>
          <w:tcPr>
            <w:tcW w:w="667" w:type="dxa"/>
          </w:tcPr>
          <w:p w14:paraId="1E161401"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0.001</w:t>
            </w:r>
          </w:p>
        </w:tc>
        <w:tc>
          <w:tcPr>
            <w:tcW w:w="667" w:type="dxa"/>
          </w:tcPr>
          <w:p w14:paraId="500A1C57"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0.002</w:t>
            </w:r>
          </w:p>
        </w:tc>
        <w:tc>
          <w:tcPr>
            <w:tcW w:w="667" w:type="dxa"/>
          </w:tcPr>
          <w:p w14:paraId="2EEE20DE"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0.024</w:t>
            </w:r>
          </w:p>
        </w:tc>
        <w:tc>
          <w:tcPr>
            <w:tcW w:w="843" w:type="dxa"/>
          </w:tcPr>
          <w:p w14:paraId="006FABFC" w14:textId="77777777"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5204B9">
              <w:t>0.049</w:t>
            </w:r>
          </w:p>
        </w:tc>
        <w:tc>
          <w:tcPr>
            <w:tcW w:w="850" w:type="dxa"/>
          </w:tcPr>
          <w:p w14:paraId="1C663BA4" w14:textId="662A0EFD" w:rsidR="00A349A7" w:rsidRPr="005204B9" w:rsidRDefault="00A349A7" w:rsidP="00656AF0">
            <w:pPr>
              <w:pStyle w:val="Table1"/>
              <w:cnfStyle w:val="000000100000" w:firstRow="0" w:lastRow="0" w:firstColumn="0" w:lastColumn="0" w:oddVBand="0" w:evenVBand="0" w:oddHBand="1" w:evenHBand="0" w:firstRowFirstColumn="0" w:firstRowLastColumn="0" w:lastRowFirstColumn="0" w:lastRowLastColumn="0"/>
            </w:pPr>
            <w:r w:rsidRPr="00FF4825">
              <w:t>23%</w:t>
            </w:r>
          </w:p>
        </w:tc>
      </w:tr>
      <w:tr w:rsidR="00A349A7" w:rsidRPr="005204B9" w14:paraId="6ADFDA03" w14:textId="6164EA9B" w:rsidTr="0042575B">
        <w:tc>
          <w:tcPr>
            <w:cnfStyle w:val="001000000000" w:firstRow="0" w:lastRow="0" w:firstColumn="1" w:lastColumn="0" w:oddVBand="0" w:evenVBand="0" w:oddHBand="0" w:evenHBand="0" w:firstRowFirstColumn="0" w:firstRowLastColumn="0" w:lastRowFirstColumn="0" w:lastRowLastColumn="0"/>
            <w:tcW w:w="617" w:type="dxa"/>
            <w:vAlign w:val="bottom"/>
          </w:tcPr>
          <w:p w14:paraId="57863B06" w14:textId="77777777" w:rsidR="00A349A7" w:rsidRPr="005204B9" w:rsidRDefault="00A349A7" w:rsidP="00656AF0">
            <w:pPr>
              <w:pStyle w:val="Table1"/>
            </w:pPr>
            <w:r w:rsidRPr="005204B9">
              <w:t>2033</w:t>
            </w:r>
          </w:p>
        </w:tc>
        <w:tc>
          <w:tcPr>
            <w:tcW w:w="667" w:type="dxa"/>
          </w:tcPr>
          <w:p w14:paraId="5393456C"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0.002</w:t>
            </w:r>
          </w:p>
        </w:tc>
        <w:tc>
          <w:tcPr>
            <w:tcW w:w="667" w:type="dxa"/>
          </w:tcPr>
          <w:p w14:paraId="53DB1DD2"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0.003</w:t>
            </w:r>
          </w:p>
        </w:tc>
        <w:tc>
          <w:tcPr>
            <w:tcW w:w="667" w:type="dxa"/>
          </w:tcPr>
          <w:p w14:paraId="1813D61C"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0.005</w:t>
            </w:r>
          </w:p>
        </w:tc>
        <w:tc>
          <w:tcPr>
            <w:tcW w:w="667" w:type="dxa"/>
          </w:tcPr>
          <w:p w14:paraId="4C09BB53"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0.000</w:t>
            </w:r>
          </w:p>
        </w:tc>
        <w:tc>
          <w:tcPr>
            <w:tcW w:w="667" w:type="dxa"/>
          </w:tcPr>
          <w:p w14:paraId="2C64401C"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0.002</w:t>
            </w:r>
          </w:p>
        </w:tc>
        <w:tc>
          <w:tcPr>
            <w:tcW w:w="667" w:type="dxa"/>
          </w:tcPr>
          <w:p w14:paraId="1CFC4DA9"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0.005</w:t>
            </w:r>
          </w:p>
        </w:tc>
        <w:tc>
          <w:tcPr>
            <w:tcW w:w="667" w:type="dxa"/>
          </w:tcPr>
          <w:p w14:paraId="163C1DEB"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0.001</w:t>
            </w:r>
          </w:p>
        </w:tc>
        <w:tc>
          <w:tcPr>
            <w:tcW w:w="667" w:type="dxa"/>
          </w:tcPr>
          <w:p w14:paraId="1B548BD4"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0.003</w:t>
            </w:r>
          </w:p>
        </w:tc>
        <w:tc>
          <w:tcPr>
            <w:tcW w:w="667" w:type="dxa"/>
          </w:tcPr>
          <w:p w14:paraId="1584F41F"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0.006</w:t>
            </w:r>
          </w:p>
        </w:tc>
        <w:tc>
          <w:tcPr>
            <w:tcW w:w="667" w:type="dxa"/>
          </w:tcPr>
          <w:p w14:paraId="28961444"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0.000</w:t>
            </w:r>
          </w:p>
        </w:tc>
        <w:tc>
          <w:tcPr>
            <w:tcW w:w="667" w:type="dxa"/>
          </w:tcPr>
          <w:p w14:paraId="209447BA"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0.001</w:t>
            </w:r>
          </w:p>
        </w:tc>
        <w:tc>
          <w:tcPr>
            <w:tcW w:w="667" w:type="dxa"/>
          </w:tcPr>
          <w:p w14:paraId="739067EF"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0.026</w:t>
            </w:r>
          </w:p>
        </w:tc>
        <w:tc>
          <w:tcPr>
            <w:tcW w:w="843" w:type="dxa"/>
          </w:tcPr>
          <w:p w14:paraId="05F032F7" w14:textId="7777777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5204B9">
              <w:t>0.054</w:t>
            </w:r>
          </w:p>
        </w:tc>
        <w:tc>
          <w:tcPr>
            <w:tcW w:w="850" w:type="dxa"/>
          </w:tcPr>
          <w:p w14:paraId="4FB9D1EC" w14:textId="40792C47" w:rsidR="00A349A7" w:rsidRPr="005204B9" w:rsidRDefault="00A349A7" w:rsidP="00656AF0">
            <w:pPr>
              <w:pStyle w:val="Table1"/>
              <w:cnfStyle w:val="000000000000" w:firstRow="0" w:lastRow="0" w:firstColumn="0" w:lastColumn="0" w:oddVBand="0" w:evenVBand="0" w:oddHBand="0" w:evenHBand="0" w:firstRowFirstColumn="0" w:firstRowLastColumn="0" w:lastRowFirstColumn="0" w:lastRowLastColumn="0"/>
            </w:pPr>
            <w:r w:rsidRPr="00FF4825">
              <w:t>23%</w:t>
            </w:r>
          </w:p>
        </w:tc>
      </w:tr>
    </w:tbl>
    <w:p w14:paraId="28BB8C58" w14:textId="28D59518" w:rsidR="00EF1D77" w:rsidRPr="001443E3" w:rsidRDefault="00EF1D77" w:rsidP="00EF1D77">
      <w:pPr>
        <w:pStyle w:val="Heading7"/>
      </w:pPr>
      <w:bookmarkStart w:id="77" w:name="_Ref358201852"/>
      <w:bookmarkStart w:id="78" w:name="_Toc355786964"/>
      <w:r>
        <w:t xml:space="preserve">Case </w:t>
      </w:r>
      <w:r w:rsidR="00A349A7">
        <w:t>7</w:t>
      </w:r>
      <w:r>
        <w:t>.  No Additional Capacity for Expected Capacity Gaps</w:t>
      </w:r>
      <w:bookmarkEnd w:id="77"/>
    </w:p>
    <w:p w14:paraId="3E03CB22" w14:textId="77777777" w:rsidR="00EF1D77" w:rsidRDefault="00EF1D77" w:rsidP="00EF1D77">
      <w:pPr>
        <w:rPr>
          <w:lang w:val="en-US"/>
        </w:rPr>
      </w:pPr>
      <w:r>
        <w:rPr>
          <w:lang w:val="en-US"/>
        </w:rPr>
        <w:t>This case was i</w:t>
      </w:r>
      <w:r w:rsidRPr="002159A9">
        <w:rPr>
          <w:lang w:val="en-US"/>
        </w:rPr>
        <w:t xml:space="preserve">ncluded to demonstrate the importance of planning to meet </w:t>
      </w:r>
      <w:r>
        <w:rPr>
          <w:lang w:val="en-US"/>
        </w:rPr>
        <w:t xml:space="preserve">expected </w:t>
      </w:r>
      <w:r w:rsidRPr="002159A9">
        <w:rPr>
          <w:lang w:val="en-US"/>
        </w:rPr>
        <w:t>load</w:t>
      </w:r>
      <w:r>
        <w:rPr>
          <w:lang w:val="en-US"/>
        </w:rPr>
        <w:t xml:space="preserve">s. Strictly speaking, a utility should prepare to meet the expected gaps first as a part of its capacity planning process before preparing to meet any other resource adequacy metrics.  If the Company does not acquire any additional capacity to meet the expected gaps, then depending on whether the market access is available or not, there are two subcases: </w:t>
      </w:r>
    </w:p>
    <w:p w14:paraId="3294B5EA" w14:textId="77777777" w:rsidR="00EF1D77" w:rsidRPr="00AC750B" w:rsidRDefault="00EF1D77" w:rsidP="00EF1D77">
      <w:pPr>
        <w:pStyle w:val="ListNumber2"/>
      </w:pPr>
      <w:r w:rsidRPr="00AC750B">
        <w:t xml:space="preserve">Without market access: </w:t>
      </w:r>
      <w:r w:rsidRPr="00A5067F">
        <w:rPr>
          <w:i w:val="0"/>
        </w:rPr>
        <w:t>This is the worst case scenario where the Company does not prepare to meet the expected gaps at all, even though it has no access to the market. As a result, not a single year can meet the LOLE target because the resources to meet the expected load are simply not in place.</w:t>
      </w:r>
      <w:r w:rsidRPr="00AC750B">
        <w:t xml:space="preserve"> </w:t>
      </w:r>
    </w:p>
    <w:p w14:paraId="0E138E54" w14:textId="4573DB4E" w:rsidR="00EF1D77" w:rsidRPr="00AC750B" w:rsidRDefault="00EF1D77" w:rsidP="00EB6D75">
      <w:pPr>
        <w:pStyle w:val="ListNumber2"/>
      </w:pPr>
      <w:r w:rsidRPr="00AC750B">
        <w:t xml:space="preserve">With market access: </w:t>
      </w:r>
      <w:r w:rsidRPr="007127DD">
        <w:t xml:space="preserve">This is a scenario in which the Company depends totally on the market to meet both the expected gaps and the LOLE target. </w:t>
      </w:r>
      <w:r w:rsidR="00451D23" w:rsidRPr="007127DD">
        <w:t xml:space="preserve">Note that when market access is used for PRM purposes only, </w:t>
      </w:r>
      <w:r w:rsidR="00C4252A" w:rsidRPr="007127DD">
        <w:t xml:space="preserve">there will </w:t>
      </w:r>
      <w:r w:rsidR="00C4252A" w:rsidRPr="007127DD">
        <w:lastRenderedPageBreak/>
        <w:t>be no capacity shortages</w:t>
      </w:r>
      <w:r w:rsidR="00451D23" w:rsidRPr="007127DD">
        <w:t xml:space="preserve"> if market access</w:t>
      </w:r>
      <w:r w:rsidR="000C220F">
        <w:t xml:space="preserve"> is not available but</w:t>
      </w:r>
      <w:r w:rsidR="00451D23" w:rsidRPr="007127DD">
        <w:t xml:space="preserve"> </w:t>
      </w:r>
      <w:r w:rsidR="001D3074" w:rsidRPr="007127DD">
        <w:t>the base</w:t>
      </w:r>
      <w:r w:rsidR="00451D23" w:rsidRPr="007127DD">
        <w:t xml:space="preserve"> resources are functioning well. </w:t>
      </w:r>
      <w:r w:rsidR="001D3074" w:rsidRPr="007127DD">
        <w:t>However,</w:t>
      </w:r>
      <w:r w:rsidR="00451D23" w:rsidRPr="007127DD">
        <w:t xml:space="preserve"> if the ma</w:t>
      </w:r>
      <w:r w:rsidR="00A90934" w:rsidRPr="007127DD">
        <w:t xml:space="preserve">rket is </w:t>
      </w:r>
      <w:r w:rsidR="001D3074" w:rsidRPr="007127DD">
        <w:t xml:space="preserve">also </w:t>
      </w:r>
      <w:r w:rsidR="00A90934" w:rsidRPr="007127DD">
        <w:t xml:space="preserve">used </w:t>
      </w:r>
      <w:r w:rsidR="001D3074" w:rsidRPr="007127DD">
        <w:t>as a base resource to</w:t>
      </w:r>
      <w:r w:rsidR="00A90934" w:rsidRPr="007127DD">
        <w:t xml:space="preserve"> meet expected gaps</w:t>
      </w:r>
      <w:r w:rsidR="001D3074" w:rsidRPr="007127DD">
        <w:t>,</w:t>
      </w:r>
      <w:r w:rsidR="00A90934" w:rsidRPr="007127DD">
        <w:t xml:space="preserve"> </w:t>
      </w:r>
      <w:r w:rsidR="001D3074" w:rsidRPr="007127DD">
        <w:t>t</w:t>
      </w:r>
      <w:r w:rsidR="00A90934" w:rsidRPr="007127DD">
        <w:t xml:space="preserve">hen </w:t>
      </w:r>
      <w:r w:rsidR="000C220F">
        <w:t>if the market is not available</w:t>
      </w:r>
      <w:r w:rsidR="00A90934" w:rsidRPr="007127DD">
        <w:t xml:space="preserve"> </w:t>
      </w:r>
      <w:r w:rsidR="007127DD" w:rsidRPr="007127DD">
        <w:t xml:space="preserve">the backup market resource is also not available and </w:t>
      </w:r>
      <w:r w:rsidR="00A90934" w:rsidRPr="007127DD">
        <w:t>there will be shortages.</w:t>
      </w:r>
      <w:r w:rsidR="00451D23" w:rsidRPr="007127DD">
        <w:t xml:space="preserve"> </w:t>
      </w:r>
      <w:r w:rsidR="001D3074" w:rsidRPr="007127DD">
        <w:t>Reliance on the market as both a base and a backup resource</w:t>
      </w:r>
      <w:r w:rsidRPr="007127DD">
        <w:t xml:space="preserve"> is not a prudent approach in the long run as shown below with LOLE values failing the target after 2020, mainly due to high LOLE values in June and December.</w:t>
      </w:r>
      <w:r w:rsidRPr="00AC750B">
        <w:t xml:space="preserve"> </w:t>
      </w:r>
    </w:p>
    <w:p w14:paraId="1F47E876" w14:textId="2B438E45" w:rsidR="00EF1D77" w:rsidRPr="004310A4" w:rsidRDefault="00EF1D77" w:rsidP="00EF1D77">
      <w:pPr>
        <w:ind w:left="360"/>
        <w:rPr>
          <w:lang w:val="en-US"/>
        </w:rPr>
      </w:pPr>
      <w:r w:rsidRPr="004310A4">
        <w:rPr>
          <w:lang w:val="en-US"/>
        </w:rPr>
        <w:t xml:space="preserve">In both cases, it is clear that the Company needs to explicitly address </w:t>
      </w:r>
      <w:r>
        <w:rPr>
          <w:lang w:val="en-US"/>
        </w:rPr>
        <w:t>long term</w:t>
      </w:r>
      <w:r w:rsidRPr="004310A4">
        <w:rPr>
          <w:lang w:val="en-US"/>
        </w:rPr>
        <w:t xml:space="preserve"> expected capacity gaps to avoid resource inadequacy.</w:t>
      </w:r>
      <w:r w:rsidR="00286303">
        <w:rPr>
          <w:lang w:val="en-US"/>
        </w:rPr>
        <w:t xml:space="preserve">  FBC will be addressing long term resource requirements and assessing various resource options portfolios within its next 2016 LTERP.  </w:t>
      </w:r>
    </w:p>
    <w:p w14:paraId="24ADB655" w14:textId="4C668986" w:rsidR="00EF1D77" w:rsidRDefault="00EF1D77" w:rsidP="00EF1D77">
      <w:pPr>
        <w:pStyle w:val="TableHeading"/>
        <w:rPr>
          <w:lang w:val="en-US"/>
        </w:rPr>
      </w:pPr>
      <w:bookmarkStart w:id="79" w:name="_Toc355786971"/>
      <w:bookmarkStart w:id="80" w:name="_Toc383169314"/>
      <w:bookmarkStart w:id="81" w:name="_Toc421190637"/>
      <w:r>
        <w:t>Table 3-</w:t>
      </w:r>
      <w:r w:rsidR="00A22B13">
        <w:t>9</w:t>
      </w:r>
      <w:r>
        <w:t xml:space="preserve">:  Case </w:t>
      </w:r>
      <w:r w:rsidR="00430C2F">
        <w:t xml:space="preserve">7 </w:t>
      </w:r>
      <w:r>
        <w:t xml:space="preserve">- </w:t>
      </w:r>
      <w:bookmarkEnd w:id="79"/>
      <w:r w:rsidRPr="004310A4">
        <w:t xml:space="preserve">No </w:t>
      </w:r>
      <w:r>
        <w:t>A</w:t>
      </w:r>
      <w:r w:rsidRPr="004310A4">
        <w:t xml:space="preserve">dditional </w:t>
      </w:r>
      <w:r>
        <w:t>C</w:t>
      </w:r>
      <w:r w:rsidRPr="004310A4">
        <w:t xml:space="preserve">apacity for </w:t>
      </w:r>
      <w:r>
        <w:t>E</w:t>
      </w:r>
      <w:r w:rsidRPr="004310A4">
        <w:t xml:space="preserve">xpected </w:t>
      </w:r>
      <w:r>
        <w:t>C</w:t>
      </w:r>
      <w:r w:rsidRPr="004310A4">
        <w:t xml:space="preserve">apacity </w:t>
      </w:r>
      <w:r>
        <w:t>G</w:t>
      </w:r>
      <w:r w:rsidRPr="004310A4">
        <w:t>aps</w:t>
      </w:r>
      <w:bookmarkEnd w:id="80"/>
      <w:bookmarkEnd w:id="81"/>
    </w:p>
    <w:tbl>
      <w:tblPr>
        <w:tblStyle w:val="LightList-Accent11"/>
        <w:tblW w:w="7088" w:type="dxa"/>
        <w:tblInd w:w="1242" w:type="dxa"/>
        <w:tblLook w:val="04A0" w:firstRow="1" w:lastRow="0" w:firstColumn="1" w:lastColumn="0" w:noHBand="0" w:noVBand="1"/>
      </w:tblPr>
      <w:tblGrid>
        <w:gridCol w:w="787"/>
        <w:gridCol w:w="1842"/>
        <w:gridCol w:w="1494"/>
        <w:gridCol w:w="1583"/>
        <w:gridCol w:w="1382"/>
      </w:tblGrid>
      <w:tr w:rsidR="00A349A7" w:rsidRPr="00E24C3D" w14:paraId="4D2C6395" w14:textId="38D30807" w:rsidTr="007127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7" w:type="dxa"/>
          </w:tcPr>
          <w:p w14:paraId="3738AEF3" w14:textId="558F5A6A" w:rsidR="00A349A7" w:rsidRPr="007D2369" w:rsidRDefault="00A349A7">
            <w:pPr>
              <w:pStyle w:val="Table1"/>
            </w:pPr>
            <w:r w:rsidRPr="007D2369">
              <w:t>Year</w:t>
            </w:r>
          </w:p>
        </w:tc>
        <w:tc>
          <w:tcPr>
            <w:tcW w:w="3336" w:type="dxa"/>
            <w:gridSpan w:val="2"/>
          </w:tcPr>
          <w:p w14:paraId="06E205B0" w14:textId="1AD49465" w:rsidR="00A349A7" w:rsidRPr="007D2369" w:rsidRDefault="00A349A7">
            <w:pPr>
              <w:pStyle w:val="Table1"/>
              <w:cnfStyle w:val="100000000000" w:firstRow="1" w:lastRow="0" w:firstColumn="0" w:lastColumn="0" w:oddVBand="0" w:evenVBand="0" w:oddHBand="0" w:evenHBand="0" w:firstRowFirstColumn="0" w:firstRowLastColumn="0" w:lastRowFirstColumn="0" w:lastRowLastColumn="0"/>
            </w:pPr>
            <w:r w:rsidRPr="007D2369">
              <w:t xml:space="preserve"> Without Market</w:t>
            </w:r>
          </w:p>
        </w:tc>
        <w:tc>
          <w:tcPr>
            <w:tcW w:w="2965" w:type="dxa"/>
            <w:gridSpan w:val="2"/>
          </w:tcPr>
          <w:p w14:paraId="12E7C9BD" w14:textId="684DA135" w:rsidR="00A349A7" w:rsidRPr="007D2369" w:rsidRDefault="00A349A7">
            <w:pPr>
              <w:pStyle w:val="Table1"/>
              <w:cnfStyle w:val="100000000000" w:firstRow="1" w:lastRow="0" w:firstColumn="0" w:lastColumn="0" w:oddVBand="0" w:evenVBand="0" w:oddHBand="0" w:evenHBand="0" w:firstRowFirstColumn="0" w:firstRowLastColumn="0" w:lastRowFirstColumn="0" w:lastRowLastColumn="0"/>
            </w:pPr>
            <w:r w:rsidRPr="007D2369">
              <w:t>With Market</w:t>
            </w:r>
          </w:p>
        </w:tc>
      </w:tr>
      <w:tr w:rsidR="00A349A7" w:rsidRPr="00AC750B" w14:paraId="2AF6C84A" w14:textId="61331F4A" w:rsidTr="007127D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87" w:type="dxa"/>
            <w:vAlign w:val="bottom"/>
          </w:tcPr>
          <w:p w14:paraId="5C174FEC" w14:textId="77777777" w:rsidR="00A349A7" w:rsidRPr="007D2369" w:rsidRDefault="00A349A7">
            <w:pPr>
              <w:pStyle w:val="Table1"/>
            </w:pPr>
          </w:p>
        </w:tc>
        <w:tc>
          <w:tcPr>
            <w:tcW w:w="1842" w:type="dxa"/>
          </w:tcPr>
          <w:p w14:paraId="0561E5C8" w14:textId="092352FB" w:rsidR="00A349A7" w:rsidRPr="007D2369" w:rsidRDefault="00A349A7">
            <w:pPr>
              <w:pStyle w:val="Table1"/>
              <w:cnfStyle w:val="000000100000" w:firstRow="0" w:lastRow="0" w:firstColumn="0" w:lastColumn="0" w:oddVBand="0" w:evenVBand="0" w:oddHBand="1" w:evenHBand="0" w:firstRowFirstColumn="0" w:firstRowLastColumn="0" w:lastRowFirstColumn="0" w:lastRowLastColumn="0"/>
            </w:pPr>
            <w:r w:rsidRPr="00A349A7">
              <w:t>LOLE</w:t>
            </w:r>
          </w:p>
        </w:tc>
        <w:tc>
          <w:tcPr>
            <w:tcW w:w="1494" w:type="dxa"/>
          </w:tcPr>
          <w:p w14:paraId="47752F17" w14:textId="5231DC37" w:rsidR="00A349A7" w:rsidRPr="007D2369" w:rsidRDefault="00A349A7">
            <w:pPr>
              <w:pStyle w:val="Table1"/>
              <w:cnfStyle w:val="000000100000" w:firstRow="0" w:lastRow="0" w:firstColumn="0" w:lastColumn="0" w:oddVBand="0" w:evenVBand="0" w:oddHBand="1" w:evenHBand="0" w:firstRowFirstColumn="0" w:firstRowLastColumn="0" w:lastRowFirstColumn="0" w:lastRowLastColumn="0"/>
            </w:pPr>
            <w:r>
              <w:t>Winter PRM</w:t>
            </w:r>
          </w:p>
        </w:tc>
        <w:tc>
          <w:tcPr>
            <w:tcW w:w="1583" w:type="dxa"/>
          </w:tcPr>
          <w:p w14:paraId="17B8E35B" w14:textId="0FCFA4B3" w:rsidR="00A349A7" w:rsidRPr="007D2369" w:rsidRDefault="00A349A7">
            <w:pPr>
              <w:pStyle w:val="Table1"/>
              <w:cnfStyle w:val="000000100000" w:firstRow="0" w:lastRow="0" w:firstColumn="0" w:lastColumn="0" w:oddVBand="0" w:evenVBand="0" w:oddHBand="1" w:evenHBand="0" w:firstRowFirstColumn="0" w:firstRowLastColumn="0" w:lastRowFirstColumn="0" w:lastRowLastColumn="0"/>
            </w:pPr>
            <w:r>
              <w:t>LOLE</w:t>
            </w:r>
          </w:p>
        </w:tc>
        <w:tc>
          <w:tcPr>
            <w:tcW w:w="1382" w:type="dxa"/>
          </w:tcPr>
          <w:p w14:paraId="01444C9A" w14:textId="4A7BC1D0" w:rsidR="00A349A7" w:rsidRPr="007D2369" w:rsidRDefault="00A349A7">
            <w:pPr>
              <w:pStyle w:val="Table1"/>
              <w:cnfStyle w:val="000000100000" w:firstRow="0" w:lastRow="0" w:firstColumn="0" w:lastColumn="0" w:oddVBand="0" w:evenVBand="0" w:oddHBand="1" w:evenHBand="0" w:firstRowFirstColumn="0" w:firstRowLastColumn="0" w:lastRowFirstColumn="0" w:lastRowLastColumn="0"/>
            </w:pPr>
            <w:r>
              <w:t>Winter PRM</w:t>
            </w:r>
          </w:p>
        </w:tc>
      </w:tr>
      <w:tr w:rsidR="00430C2F" w:rsidRPr="00AC750B" w14:paraId="21A4C56C" w14:textId="343B66F2" w:rsidTr="007127DD">
        <w:trPr>
          <w:trHeight w:val="283"/>
        </w:trPr>
        <w:tc>
          <w:tcPr>
            <w:cnfStyle w:val="001000000000" w:firstRow="0" w:lastRow="0" w:firstColumn="1" w:lastColumn="0" w:oddVBand="0" w:evenVBand="0" w:oddHBand="0" w:evenHBand="0" w:firstRowFirstColumn="0" w:firstRowLastColumn="0" w:lastRowFirstColumn="0" w:lastRowLastColumn="0"/>
            <w:tcW w:w="787" w:type="dxa"/>
            <w:vAlign w:val="bottom"/>
          </w:tcPr>
          <w:p w14:paraId="3AF51981" w14:textId="77777777" w:rsidR="00430C2F" w:rsidRPr="007D2369" w:rsidRDefault="00430C2F">
            <w:pPr>
              <w:pStyle w:val="Table1"/>
            </w:pPr>
            <w:r w:rsidRPr="007D2369">
              <w:t>2014</w:t>
            </w:r>
          </w:p>
        </w:tc>
        <w:tc>
          <w:tcPr>
            <w:tcW w:w="1842" w:type="dxa"/>
          </w:tcPr>
          <w:p w14:paraId="67E0438D" w14:textId="77777777" w:rsidR="00430C2F" w:rsidRDefault="00430C2F">
            <w:pPr>
              <w:pStyle w:val="Table1"/>
              <w:cnfStyle w:val="000000000000" w:firstRow="0" w:lastRow="0" w:firstColumn="0" w:lastColumn="0" w:oddVBand="0" w:evenVBand="0" w:oddHBand="0" w:evenHBand="0" w:firstRowFirstColumn="0" w:firstRowLastColumn="0" w:lastRowFirstColumn="0" w:lastRowLastColumn="0"/>
            </w:pPr>
            <w:r w:rsidRPr="007D2369">
              <w:t>15.531</w:t>
            </w:r>
          </w:p>
        </w:tc>
        <w:tc>
          <w:tcPr>
            <w:tcW w:w="1494" w:type="dxa"/>
          </w:tcPr>
          <w:p w14:paraId="0BD74903" w14:textId="0C2BF2ED" w:rsidR="00430C2F" w:rsidRPr="007D2369" w:rsidRDefault="00430C2F">
            <w:pPr>
              <w:pStyle w:val="Table1"/>
              <w:cnfStyle w:val="000000000000" w:firstRow="0" w:lastRow="0" w:firstColumn="0" w:lastColumn="0" w:oddVBand="0" w:evenVBand="0" w:oddHBand="0" w:evenHBand="0" w:firstRowFirstColumn="0" w:firstRowLastColumn="0" w:lastRowFirstColumn="0" w:lastRowLastColumn="0"/>
            </w:pPr>
            <w:r w:rsidRPr="00810554">
              <w:t>6%</w:t>
            </w:r>
          </w:p>
        </w:tc>
        <w:tc>
          <w:tcPr>
            <w:tcW w:w="1583" w:type="dxa"/>
          </w:tcPr>
          <w:p w14:paraId="218C6253" w14:textId="759C64E3" w:rsidR="00430C2F" w:rsidRDefault="00430C2F">
            <w:pPr>
              <w:pStyle w:val="Table1"/>
              <w:cnfStyle w:val="000000000000" w:firstRow="0" w:lastRow="0" w:firstColumn="0" w:lastColumn="0" w:oddVBand="0" w:evenVBand="0" w:oddHBand="0" w:evenHBand="0" w:firstRowFirstColumn="0" w:firstRowLastColumn="0" w:lastRowFirstColumn="0" w:lastRowLastColumn="0"/>
            </w:pPr>
            <w:r w:rsidRPr="007D2369">
              <w:t>0.214</w:t>
            </w:r>
          </w:p>
        </w:tc>
        <w:tc>
          <w:tcPr>
            <w:tcW w:w="1382" w:type="dxa"/>
          </w:tcPr>
          <w:p w14:paraId="65E911D4" w14:textId="5510B610" w:rsidR="00430C2F" w:rsidRPr="007D2369" w:rsidRDefault="00430C2F">
            <w:pPr>
              <w:pStyle w:val="Table1"/>
              <w:cnfStyle w:val="000000000000" w:firstRow="0" w:lastRow="0" w:firstColumn="0" w:lastColumn="0" w:oddVBand="0" w:evenVBand="0" w:oddHBand="0" w:evenHBand="0" w:firstRowFirstColumn="0" w:firstRowLastColumn="0" w:lastRowFirstColumn="0" w:lastRowLastColumn="0"/>
            </w:pPr>
            <w:r w:rsidRPr="002B177D">
              <w:t>27%</w:t>
            </w:r>
          </w:p>
        </w:tc>
      </w:tr>
      <w:tr w:rsidR="00430C2F" w:rsidRPr="00AC750B" w14:paraId="2E166484" w14:textId="395DD509" w:rsidTr="007127D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87" w:type="dxa"/>
            <w:vAlign w:val="bottom"/>
          </w:tcPr>
          <w:p w14:paraId="49368DB6" w14:textId="77777777" w:rsidR="00430C2F" w:rsidRPr="007D2369" w:rsidRDefault="00430C2F">
            <w:pPr>
              <w:pStyle w:val="Table1"/>
            </w:pPr>
            <w:r w:rsidRPr="007D2369">
              <w:t>2015</w:t>
            </w:r>
          </w:p>
        </w:tc>
        <w:tc>
          <w:tcPr>
            <w:tcW w:w="1842" w:type="dxa"/>
          </w:tcPr>
          <w:p w14:paraId="4CE751EA" w14:textId="77777777" w:rsidR="00430C2F" w:rsidRDefault="00430C2F">
            <w:pPr>
              <w:pStyle w:val="Table1"/>
              <w:cnfStyle w:val="000000100000" w:firstRow="0" w:lastRow="0" w:firstColumn="0" w:lastColumn="0" w:oddVBand="0" w:evenVBand="0" w:oddHBand="1" w:evenHBand="0" w:firstRowFirstColumn="0" w:firstRowLastColumn="0" w:lastRowFirstColumn="0" w:lastRowLastColumn="0"/>
            </w:pPr>
            <w:r w:rsidRPr="007D2369">
              <w:t>13.649</w:t>
            </w:r>
          </w:p>
        </w:tc>
        <w:tc>
          <w:tcPr>
            <w:tcW w:w="1494" w:type="dxa"/>
          </w:tcPr>
          <w:p w14:paraId="157DB6BB" w14:textId="0D132699" w:rsidR="00430C2F" w:rsidRPr="007D2369" w:rsidRDefault="00430C2F">
            <w:pPr>
              <w:pStyle w:val="Table1"/>
              <w:cnfStyle w:val="000000100000" w:firstRow="0" w:lastRow="0" w:firstColumn="0" w:lastColumn="0" w:oddVBand="0" w:evenVBand="0" w:oddHBand="1" w:evenHBand="0" w:firstRowFirstColumn="0" w:firstRowLastColumn="0" w:lastRowFirstColumn="0" w:lastRowLastColumn="0"/>
            </w:pPr>
            <w:r w:rsidRPr="00810554">
              <w:t>6%</w:t>
            </w:r>
          </w:p>
        </w:tc>
        <w:tc>
          <w:tcPr>
            <w:tcW w:w="1583" w:type="dxa"/>
          </w:tcPr>
          <w:p w14:paraId="613E4CD5" w14:textId="5D18A4F8" w:rsidR="00430C2F" w:rsidRDefault="00430C2F">
            <w:pPr>
              <w:pStyle w:val="Table1"/>
              <w:cnfStyle w:val="000000100000" w:firstRow="0" w:lastRow="0" w:firstColumn="0" w:lastColumn="0" w:oddVBand="0" w:evenVBand="0" w:oddHBand="1" w:evenHBand="0" w:firstRowFirstColumn="0" w:firstRowLastColumn="0" w:lastRowFirstColumn="0" w:lastRowLastColumn="0"/>
            </w:pPr>
            <w:r w:rsidRPr="007D2369">
              <w:t>0.263</w:t>
            </w:r>
          </w:p>
        </w:tc>
        <w:tc>
          <w:tcPr>
            <w:tcW w:w="1382" w:type="dxa"/>
          </w:tcPr>
          <w:p w14:paraId="5FC28259" w14:textId="7D25788C" w:rsidR="00430C2F" w:rsidRPr="007D2369" w:rsidRDefault="00430C2F">
            <w:pPr>
              <w:pStyle w:val="Table1"/>
              <w:cnfStyle w:val="000000100000" w:firstRow="0" w:lastRow="0" w:firstColumn="0" w:lastColumn="0" w:oddVBand="0" w:evenVBand="0" w:oddHBand="1" w:evenHBand="0" w:firstRowFirstColumn="0" w:firstRowLastColumn="0" w:lastRowFirstColumn="0" w:lastRowLastColumn="0"/>
            </w:pPr>
            <w:r w:rsidRPr="002B177D">
              <w:t>27%</w:t>
            </w:r>
          </w:p>
        </w:tc>
      </w:tr>
      <w:tr w:rsidR="00430C2F" w:rsidRPr="00AC750B" w14:paraId="685C39A6" w14:textId="440F867E" w:rsidTr="007127DD">
        <w:trPr>
          <w:trHeight w:val="122"/>
        </w:trPr>
        <w:tc>
          <w:tcPr>
            <w:cnfStyle w:val="001000000000" w:firstRow="0" w:lastRow="0" w:firstColumn="1" w:lastColumn="0" w:oddVBand="0" w:evenVBand="0" w:oddHBand="0" w:evenHBand="0" w:firstRowFirstColumn="0" w:firstRowLastColumn="0" w:lastRowFirstColumn="0" w:lastRowLastColumn="0"/>
            <w:tcW w:w="787" w:type="dxa"/>
            <w:vAlign w:val="bottom"/>
          </w:tcPr>
          <w:p w14:paraId="2C1AED54" w14:textId="77777777" w:rsidR="00430C2F" w:rsidRPr="007D2369" w:rsidRDefault="00430C2F">
            <w:pPr>
              <w:pStyle w:val="Table1"/>
            </w:pPr>
            <w:r w:rsidRPr="007D2369">
              <w:t>2016</w:t>
            </w:r>
          </w:p>
        </w:tc>
        <w:tc>
          <w:tcPr>
            <w:tcW w:w="1842" w:type="dxa"/>
          </w:tcPr>
          <w:p w14:paraId="200F6D09" w14:textId="77777777" w:rsidR="00430C2F" w:rsidRDefault="00430C2F">
            <w:pPr>
              <w:pStyle w:val="Table1"/>
              <w:cnfStyle w:val="000000000000" w:firstRow="0" w:lastRow="0" w:firstColumn="0" w:lastColumn="0" w:oddVBand="0" w:evenVBand="0" w:oddHBand="0" w:evenHBand="0" w:firstRowFirstColumn="0" w:firstRowLastColumn="0" w:lastRowFirstColumn="0" w:lastRowLastColumn="0"/>
            </w:pPr>
            <w:r w:rsidRPr="007D2369">
              <w:t>0.429</w:t>
            </w:r>
          </w:p>
        </w:tc>
        <w:tc>
          <w:tcPr>
            <w:tcW w:w="1494" w:type="dxa"/>
          </w:tcPr>
          <w:p w14:paraId="7FF94B96" w14:textId="32BC6D69" w:rsidR="00430C2F" w:rsidRPr="007D2369" w:rsidRDefault="00430C2F">
            <w:pPr>
              <w:pStyle w:val="Table1"/>
              <w:cnfStyle w:val="000000000000" w:firstRow="0" w:lastRow="0" w:firstColumn="0" w:lastColumn="0" w:oddVBand="0" w:evenVBand="0" w:oddHBand="0" w:evenHBand="0" w:firstRowFirstColumn="0" w:firstRowLastColumn="0" w:lastRowFirstColumn="0" w:lastRowLastColumn="0"/>
            </w:pPr>
            <w:r w:rsidRPr="00810554">
              <w:t>6%</w:t>
            </w:r>
          </w:p>
        </w:tc>
        <w:tc>
          <w:tcPr>
            <w:tcW w:w="1583" w:type="dxa"/>
          </w:tcPr>
          <w:p w14:paraId="0AD6AA9F" w14:textId="12D7E859" w:rsidR="00430C2F" w:rsidRDefault="00430C2F">
            <w:pPr>
              <w:pStyle w:val="Table1"/>
              <w:cnfStyle w:val="000000000000" w:firstRow="0" w:lastRow="0" w:firstColumn="0" w:lastColumn="0" w:oddVBand="0" w:evenVBand="0" w:oddHBand="0" w:evenHBand="0" w:firstRowFirstColumn="0" w:firstRowLastColumn="0" w:lastRowFirstColumn="0" w:lastRowLastColumn="0"/>
            </w:pPr>
            <w:r w:rsidRPr="007D2369">
              <w:t>0.007</w:t>
            </w:r>
          </w:p>
        </w:tc>
        <w:tc>
          <w:tcPr>
            <w:tcW w:w="1382" w:type="dxa"/>
          </w:tcPr>
          <w:p w14:paraId="22A77AC6" w14:textId="218E92EA" w:rsidR="00430C2F" w:rsidRPr="007D2369" w:rsidRDefault="00430C2F">
            <w:pPr>
              <w:pStyle w:val="Table1"/>
              <w:cnfStyle w:val="000000000000" w:firstRow="0" w:lastRow="0" w:firstColumn="0" w:lastColumn="0" w:oddVBand="0" w:evenVBand="0" w:oddHBand="0" w:evenHBand="0" w:firstRowFirstColumn="0" w:firstRowLastColumn="0" w:lastRowFirstColumn="0" w:lastRowLastColumn="0"/>
            </w:pPr>
            <w:r w:rsidRPr="002B177D">
              <w:t>26%</w:t>
            </w:r>
          </w:p>
        </w:tc>
      </w:tr>
      <w:tr w:rsidR="00430C2F" w:rsidRPr="00AC750B" w14:paraId="1094A7C0" w14:textId="0E1DC018" w:rsidTr="007127D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87" w:type="dxa"/>
            <w:vAlign w:val="bottom"/>
          </w:tcPr>
          <w:p w14:paraId="351C95BC" w14:textId="77777777" w:rsidR="00430C2F" w:rsidRPr="007D2369" w:rsidRDefault="00430C2F">
            <w:pPr>
              <w:pStyle w:val="Table1"/>
            </w:pPr>
            <w:r w:rsidRPr="007D2369">
              <w:t>2017</w:t>
            </w:r>
          </w:p>
        </w:tc>
        <w:tc>
          <w:tcPr>
            <w:tcW w:w="1842" w:type="dxa"/>
          </w:tcPr>
          <w:p w14:paraId="24A90D83" w14:textId="77777777" w:rsidR="00430C2F" w:rsidRDefault="00430C2F">
            <w:pPr>
              <w:pStyle w:val="Table1"/>
              <w:cnfStyle w:val="000000100000" w:firstRow="0" w:lastRow="0" w:firstColumn="0" w:lastColumn="0" w:oddVBand="0" w:evenVBand="0" w:oddHBand="1" w:evenHBand="0" w:firstRowFirstColumn="0" w:firstRowLastColumn="0" w:lastRowFirstColumn="0" w:lastRowLastColumn="0"/>
            </w:pPr>
            <w:r w:rsidRPr="007D2369">
              <w:t>0.459</w:t>
            </w:r>
          </w:p>
        </w:tc>
        <w:tc>
          <w:tcPr>
            <w:tcW w:w="1494" w:type="dxa"/>
          </w:tcPr>
          <w:p w14:paraId="3598468D" w14:textId="01BE26F8" w:rsidR="00430C2F" w:rsidRPr="007D2369" w:rsidRDefault="00430C2F">
            <w:pPr>
              <w:pStyle w:val="Table1"/>
              <w:cnfStyle w:val="000000100000" w:firstRow="0" w:lastRow="0" w:firstColumn="0" w:lastColumn="0" w:oddVBand="0" w:evenVBand="0" w:oddHBand="1" w:evenHBand="0" w:firstRowFirstColumn="0" w:firstRowLastColumn="0" w:lastRowFirstColumn="0" w:lastRowLastColumn="0"/>
            </w:pPr>
            <w:r w:rsidRPr="00810554">
              <w:t>6%</w:t>
            </w:r>
          </w:p>
        </w:tc>
        <w:tc>
          <w:tcPr>
            <w:tcW w:w="1583" w:type="dxa"/>
          </w:tcPr>
          <w:p w14:paraId="0478279F" w14:textId="19D5AE9C" w:rsidR="00430C2F" w:rsidRDefault="00430C2F">
            <w:pPr>
              <w:pStyle w:val="Table1"/>
              <w:cnfStyle w:val="000000100000" w:firstRow="0" w:lastRow="0" w:firstColumn="0" w:lastColumn="0" w:oddVBand="0" w:evenVBand="0" w:oddHBand="1" w:evenHBand="0" w:firstRowFirstColumn="0" w:firstRowLastColumn="0" w:lastRowFirstColumn="0" w:lastRowLastColumn="0"/>
            </w:pPr>
            <w:r w:rsidRPr="007D2369">
              <w:t>0.014</w:t>
            </w:r>
          </w:p>
        </w:tc>
        <w:tc>
          <w:tcPr>
            <w:tcW w:w="1382" w:type="dxa"/>
          </w:tcPr>
          <w:p w14:paraId="265F1B1B" w14:textId="75A6DED1" w:rsidR="00430C2F" w:rsidRPr="007D2369" w:rsidRDefault="00430C2F">
            <w:pPr>
              <w:pStyle w:val="Table1"/>
              <w:cnfStyle w:val="000000100000" w:firstRow="0" w:lastRow="0" w:firstColumn="0" w:lastColumn="0" w:oddVBand="0" w:evenVBand="0" w:oddHBand="1" w:evenHBand="0" w:firstRowFirstColumn="0" w:firstRowLastColumn="0" w:lastRowFirstColumn="0" w:lastRowLastColumn="0"/>
            </w:pPr>
            <w:r w:rsidRPr="002B177D">
              <w:t>26%</w:t>
            </w:r>
          </w:p>
        </w:tc>
      </w:tr>
      <w:tr w:rsidR="00430C2F" w:rsidRPr="00AC750B" w14:paraId="7B9A95D6" w14:textId="299FB21A" w:rsidTr="007127DD">
        <w:trPr>
          <w:trHeight w:val="283"/>
        </w:trPr>
        <w:tc>
          <w:tcPr>
            <w:cnfStyle w:val="001000000000" w:firstRow="0" w:lastRow="0" w:firstColumn="1" w:lastColumn="0" w:oddVBand="0" w:evenVBand="0" w:oddHBand="0" w:evenHBand="0" w:firstRowFirstColumn="0" w:firstRowLastColumn="0" w:lastRowFirstColumn="0" w:lastRowLastColumn="0"/>
            <w:tcW w:w="787" w:type="dxa"/>
            <w:vAlign w:val="bottom"/>
          </w:tcPr>
          <w:p w14:paraId="31F431F0" w14:textId="77777777" w:rsidR="00430C2F" w:rsidRPr="007D2369" w:rsidRDefault="00430C2F">
            <w:pPr>
              <w:pStyle w:val="Table1"/>
            </w:pPr>
            <w:r w:rsidRPr="007D2369">
              <w:t>2018</w:t>
            </w:r>
          </w:p>
        </w:tc>
        <w:tc>
          <w:tcPr>
            <w:tcW w:w="1842" w:type="dxa"/>
          </w:tcPr>
          <w:p w14:paraId="002C9F14" w14:textId="77777777" w:rsidR="00430C2F" w:rsidRDefault="00430C2F">
            <w:pPr>
              <w:pStyle w:val="Table1"/>
              <w:cnfStyle w:val="000000000000" w:firstRow="0" w:lastRow="0" w:firstColumn="0" w:lastColumn="0" w:oddVBand="0" w:evenVBand="0" w:oddHBand="0" w:evenHBand="0" w:firstRowFirstColumn="0" w:firstRowLastColumn="0" w:lastRowFirstColumn="0" w:lastRowLastColumn="0"/>
            </w:pPr>
            <w:r w:rsidRPr="007D2369">
              <w:t>4.839</w:t>
            </w:r>
          </w:p>
        </w:tc>
        <w:tc>
          <w:tcPr>
            <w:tcW w:w="1494" w:type="dxa"/>
          </w:tcPr>
          <w:p w14:paraId="3C4AF7F5" w14:textId="76E9B90E" w:rsidR="00430C2F" w:rsidRPr="007D2369" w:rsidRDefault="00430C2F">
            <w:pPr>
              <w:pStyle w:val="Table1"/>
              <w:cnfStyle w:val="000000000000" w:firstRow="0" w:lastRow="0" w:firstColumn="0" w:lastColumn="0" w:oddVBand="0" w:evenVBand="0" w:oddHBand="0" w:evenHBand="0" w:firstRowFirstColumn="0" w:firstRowLastColumn="0" w:lastRowFirstColumn="0" w:lastRowLastColumn="0"/>
            </w:pPr>
            <w:r w:rsidRPr="00810554">
              <w:t>6%</w:t>
            </w:r>
          </w:p>
        </w:tc>
        <w:tc>
          <w:tcPr>
            <w:tcW w:w="1583" w:type="dxa"/>
          </w:tcPr>
          <w:p w14:paraId="4ADF8267" w14:textId="2DD76BB0" w:rsidR="00430C2F" w:rsidRDefault="00430C2F">
            <w:pPr>
              <w:pStyle w:val="Table1"/>
              <w:cnfStyle w:val="000000000000" w:firstRow="0" w:lastRow="0" w:firstColumn="0" w:lastColumn="0" w:oddVBand="0" w:evenVBand="0" w:oddHBand="0" w:evenHBand="0" w:firstRowFirstColumn="0" w:firstRowLastColumn="0" w:lastRowFirstColumn="0" w:lastRowLastColumn="0"/>
            </w:pPr>
            <w:r w:rsidRPr="007D2369">
              <w:t>0.088</w:t>
            </w:r>
          </w:p>
        </w:tc>
        <w:tc>
          <w:tcPr>
            <w:tcW w:w="1382" w:type="dxa"/>
          </w:tcPr>
          <w:p w14:paraId="6E805A5F" w14:textId="1DBEE087" w:rsidR="00430C2F" w:rsidRPr="007D2369" w:rsidRDefault="00430C2F">
            <w:pPr>
              <w:pStyle w:val="Table1"/>
              <w:cnfStyle w:val="000000000000" w:firstRow="0" w:lastRow="0" w:firstColumn="0" w:lastColumn="0" w:oddVBand="0" w:evenVBand="0" w:oddHBand="0" w:evenHBand="0" w:firstRowFirstColumn="0" w:firstRowLastColumn="0" w:lastRowFirstColumn="0" w:lastRowLastColumn="0"/>
            </w:pPr>
            <w:r w:rsidRPr="002B177D">
              <w:t>25%</w:t>
            </w:r>
          </w:p>
        </w:tc>
      </w:tr>
      <w:tr w:rsidR="00430C2F" w:rsidRPr="00AC750B" w14:paraId="2F2583AD" w14:textId="4D17E0ED" w:rsidTr="007127D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87" w:type="dxa"/>
            <w:vAlign w:val="bottom"/>
          </w:tcPr>
          <w:p w14:paraId="74733AF5" w14:textId="77777777" w:rsidR="00430C2F" w:rsidRPr="007D2369" w:rsidRDefault="00430C2F">
            <w:pPr>
              <w:pStyle w:val="Table1"/>
            </w:pPr>
            <w:r w:rsidRPr="007D2369">
              <w:t>2019</w:t>
            </w:r>
          </w:p>
        </w:tc>
        <w:tc>
          <w:tcPr>
            <w:tcW w:w="1842" w:type="dxa"/>
          </w:tcPr>
          <w:p w14:paraId="03A9D1E7" w14:textId="77777777" w:rsidR="00430C2F" w:rsidRDefault="00430C2F">
            <w:pPr>
              <w:pStyle w:val="Table1"/>
              <w:cnfStyle w:val="000000100000" w:firstRow="0" w:lastRow="0" w:firstColumn="0" w:lastColumn="0" w:oddVBand="0" w:evenVBand="0" w:oddHBand="1" w:evenHBand="0" w:firstRowFirstColumn="0" w:firstRowLastColumn="0" w:lastRowFirstColumn="0" w:lastRowLastColumn="0"/>
            </w:pPr>
            <w:r w:rsidRPr="007D2369">
              <w:t>5.779</w:t>
            </w:r>
          </w:p>
        </w:tc>
        <w:tc>
          <w:tcPr>
            <w:tcW w:w="1494" w:type="dxa"/>
          </w:tcPr>
          <w:p w14:paraId="5115C002" w14:textId="7F6D3A6E" w:rsidR="00430C2F" w:rsidRPr="007D2369" w:rsidRDefault="00430C2F">
            <w:pPr>
              <w:pStyle w:val="Table1"/>
              <w:cnfStyle w:val="000000100000" w:firstRow="0" w:lastRow="0" w:firstColumn="0" w:lastColumn="0" w:oddVBand="0" w:evenVBand="0" w:oddHBand="1" w:evenHBand="0" w:firstRowFirstColumn="0" w:firstRowLastColumn="0" w:lastRowFirstColumn="0" w:lastRowLastColumn="0"/>
            </w:pPr>
            <w:r w:rsidRPr="00810554">
              <w:t>6%</w:t>
            </w:r>
          </w:p>
        </w:tc>
        <w:tc>
          <w:tcPr>
            <w:tcW w:w="1583" w:type="dxa"/>
          </w:tcPr>
          <w:p w14:paraId="24E63900" w14:textId="2317549D" w:rsidR="00430C2F" w:rsidRDefault="00430C2F">
            <w:pPr>
              <w:pStyle w:val="Table1"/>
              <w:cnfStyle w:val="000000100000" w:firstRow="0" w:lastRow="0" w:firstColumn="0" w:lastColumn="0" w:oddVBand="0" w:evenVBand="0" w:oddHBand="1" w:evenHBand="0" w:firstRowFirstColumn="0" w:firstRowLastColumn="0" w:lastRowFirstColumn="0" w:lastRowLastColumn="0"/>
            </w:pPr>
            <w:r w:rsidRPr="007D2369">
              <w:t>0.087</w:t>
            </w:r>
          </w:p>
        </w:tc>
        <w:tc>
          <w:tcPr>
            <w:tcW w:w="1382" w:type="dxa"/>
          </w:tcPr>
          <w:p w14:paraId="281CCC06" w14:textId="3EB86466" w:rsidR="00430C2F" w:rsidRPr="007D2369" w:rsidRDefault="00430C2F">
            <w:pPr>
              <w:pStyle w:val="Table1"/>
              <w:cnfStyle w:val="000000100000" w:firstRow="0" w:lastRow="0" w:firstColumn="0" w:lastColumn="0" w:oddVBand="0" w:evenVBand="0" w:oddHBand="1" w:evenHBand="0" w:firstRowFirstColumn="0" w:firstRowLastColumn="0" w:lastRowFirstColumn="0" w:lastRowLastColumn="0"/>
            </w:pPr>
            <w:r w:rsidRPr="002B177D">
              <w:t>25%</w:t>
            </w:r>
          </w:p>
        </w:tc>
      </w:tr>
      <w:tr w:rsidR="00430C2F" w:rsidRPr="00AC750B" w14:paraId="4D39133F" w14:textId="73CBD98B" w:rsidTr="007127DD">
        <w:trPr>
          <w:trHeight w:val="283"/>
        </w:trPr>
        <w:tc>
          <w:tcPr>
            <w:cnfStyle w:val="001000000000" w:firstRow="0" w:lastRow="0" w:firstColumn="1" w:lastColumn="0" w:oddVBand="0" w:evenVBand="0" w:oddHBand="0" w:evenHBand="0" w:firstRowFirstColumn="0" w:firstRowLastColumn="0" w:lastRowFirstColumn="0" w:lastRowLastColumn="0"/>
            <w:tcW w:w="787" w:type="dxa"/>
            <w:vAlign w:val="bottom"/>
          </w:tcPr>
          <w:p w14:paraId="4D39530C" w14:textId="77777777" w:rsidR="00430C2F" w:rsidRPr="007D2369" w:rsidRDefault="00430C2F">
            <w:pPr>
              <w:pStyle w:val="Table1"/>
            </w:pPr>
            <w:r w:rsidRPr="007D2369">
              <w:t>2020</w:t>
            </w:r>
          </w:p>
        </w:tc>
        <w:tc>
          <w:tcPr>
            <w:tcW w:w="1842" w:type="dxa"/>
          </w:tcPr>
          <w:p w14:paraId="2B33CCFA" w14:textId="77777777" w:rsidR="00430C2F" w:rsidRDefault="00430C2F">
            <w:pPr>
              <w:pStyle w:val="Table1"/>
              <w:cnfStyle w:val="000000000000" w:firstRow="0" w:lastRow="0" w:firstColumn="0" w:lastColumn="0" w:oddVBand="0" w:evenVBand="0" w:oddHBand="0" w:evenHBand="0" w:firstRowFirstColumn="0" w:firstRowLastColumn="0" w:lastRowFirstColumn="0" w:lastRowLastColumn="0"/>
            </w:pPr>
            <w:r w:rsidRPr="007D2369">
              <w:t>5.868</w:t>
            </w:r>
          </w:p>
        </w:tc>
        <w:tc>
          <w:tcPr>
            <w:tcW w:w="1494" w:type="dxa"/>
          </w:tcPr>
          <w:p w14:paraId="5DCB1E8B" w14:textId="1C6797E8" w:rsidR="00430C2F" w:rsidRPr="007D2369" w:rsidRDefault="00430C2F">
            <w:pPr>
              <w:pStyle w:val="Table1"/>
              <w:cnfStyle w:val="000000000000" w:firstRow="0" w:lastRow="0" w:firstColumn="0" w:lastColumn="0" w:oddVBand="0" w:evenVBand="0" w:oddHBand="0" w:evenHBand="0" w:firstRowFirstColumn="0" w:firstRowLastColumn="0" w:lastRowFirstColumn="0" w:lastRowLastColumn="0"/>
            </w:pPr>
            <w:r w:rsidRPr="00810554">
              <w:t>6%</w:t>
            </w:r>
          </w:p>
        </w:tc>
        <w:tc>
          <w:tcPr>
            <w:tcW w:w="1583" w:type="dxa"/>
          </w:tcPr>
          <w:p w14:paraId="7D4B4F95" w14:textId="4A73F6AD" w:rsidR="00430C2F" w:rsidRDefault="00430C2F">
            <w:pPr>
              <w:pStyle w:val="Table1"/>
              <w:cnfStyle w:val="000000000000" w:firstRow="0" w:lastRow="0" w:firstColumn="0" w:lastColumn="0" w:oddVBand="0" w:evenVBand="0" w:oddHBand="0" w:evenHBand="0" w:firstRowFirstColumn="0" w:firstRowLastColumn="0" w:lastRowFirstColumn="0" w:lastRowLastColumn="0"/>
            </w:pPr>
            <w:r w:rsidRPr="007D2369">
              <w:t>0.089</w:t>
            </w:r>
          </w:p>
        </w:tc>
        <w:tc>
          <w:tcPr>
            <w:tcW w:w="1382" w:type="dxa"/>
          </w:tcPr>
          <w:p w14:paraId="6E65A1C1" w14:textId="42F0703A" w:rsidR="00430C2F" w:rsidRPr="007D2369" w:rsidRDefault="00430C2F">
            <w:pPr>
              <w:pStyle w:val="Table1"/>
              <w:cnfStyle w:val="000000000000" w:firstRow="0" w:lastRow="0" w:firstColumn="0" w:lastColumn="0" w:oddVBand="0" w:evenVBand="0" w:oddHBand="0" w:evenHBand="0" w:firstRowFirstColumn="0" w:firstRowLastColumn="0" w:lastRowFirstColumn="0" w:lastRowLastColumn="0"/>
            </w:pPr>
            <w:r w:rsidRPr="002B177D">
              <w:t>25%</w:t>
            </w:r>
          </w:p>
        </w:tc>
      </w:tr>
      <w:tr w:rsidR="00430C2F" w:rsidRPr="00AC750B" w14:paraId="4F74E22B" w14:textId="4BFB577B" w:rsidTr="007127D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87" w:type="dxa"/>
            <w:vAlign w:val="bottom"/>
          </w:tcPr>
          <w:p w14:paraId="21A42524" w14:textId="77777777" w:rsidR="00430C2F" w:rsidRPr="007D2369" w:rsidRDefault="00430C2F">
            <w:pPr>
              <w:pStyle w:val="Table1"/>
            </w:pPr>
            <w:r w:rsidRPr="007D2369">
              <w:t>2025</w:t>
            </w:r>
          </w:p>
        </w:tc>
        <w:tc>
          <w:tcPr>
            <w:tcW w:w="1842" w:type="dxa"/>
          </w:tcPr>
          <w:p w14:paraId="313193F8" w14:textId="77777777" w:rsidR="00430C2F" w:rsidRDefault="00430C2F">
            <w:pPr>
              <w:pStyle w:val="Table1"/>
              <w:cnfStyle w:val="000000100000" w:firstRow="0" w:lastRow="0" w:firstColumn="0" w:lastColumn="0" w:oddVBand="0" w:evenVBand="0" w:oddHBand="1" w:evenHBand="0" w:firstRowFirstColumn="0" w:firstRowLastColumn="0" w:lastRowFirstColumn="0" w:lastRowLastColumn="0"/>
            </w:pPr>
            <w:r w:rsidRPr="007D2369">
              <w:t>12.000</w:t>
            </w:r>
          </w:p>
        </w:tc>
        <w:tc>
          <w:tcPr>
            <w:tcW w:w="1494" w:type="dxa"/>
          </w:tcPr>
          <w:p w14:paraId="712C6006" w14:textId="4D3B6231" w:rsidR="00430C2F" w:rsidRPr="007D2369" w:rsidRDefault="00430C2F">
            <w:pPr>
              <w:pStyle w:val="Table1"/>
              <w:cnfStyle w:val="000000100000" w:firstRow="0" w:lastRow="0" w:firstColumn="0" w:lastColumn="0" w:oddVBand="0" w:evenVBand="0" w:oddHBand="1" w:evenHBand="0" w:firstRowFirstColumn="0" w:firstRowLastColumn="0" w:lastRowFirstColumn="0" w:lastRowLastColumn="0"/>
            </w:pPr>
            <w:r w:rsidRPr="00810554">
              <w:t>6%</w:t>
            </w:r>
          </w:p>
        </w:tc>
        <w:tc>
          <w:tcPr>
            <w:tcW w:w="1583" w:type="dxa"/>
          </w:tcPr>
          <w:p w14:paraId="56066C48" w14:textId="545F9037" w:rsidR="00430C2F" w:rsidRDefault="00430C2F">
            <w:pPr>
              <w:pStyle w:val="Table1"/>
              <w:cnfStyle w:val="000000100000" w:firstRow="0" w:lastRow="0" w:firstColumn="0" w:lastColumn="0" w:oddVBand="0" w:evenVBand="0" w:oddHBand="1" w:evenHBand="0" w:firstRowFirstColumn="0" w:firstRowLastColumn="0" w:lastRowFirstColumn="0" w:lastRowLastColumn="0"/>
            </w:pPr>
            <w:r w:rsidRPr="007D2369">
              <w:t>0.189</w:t>
            </w:r>
          </w:p>
        </w:tc>
        <w:tc>
          <w:tcPr>
            <w:tcW w:w="1382" w:type="dxa"/>
          </w:tcPr>
          <w:p w14:paraId="0457F8F5" w14:textId="1D0E2C60" w:rsidR="00430C2F" w:rsidRPr="007D2369" w:rsidRDefault="00430C2F">
            <w:pPr>
              <w:pStyle w:val="Table1"/>
              <w:cnfStyle w:val="000000100000" w:firstRow="0" w:lastRow="0" w:firstColumn="0" w:lastColumn="0" w:oddVBand="0" w:evenVBand="0" w:oddHBand="1" w:evenHBand="0" w:firstRowFirstColumn="0" w:firstRowLastColumn="0" w:lastRowFirstColumn="0" w:lastRowLastColumn="0"/>
            </w:pPr>
            <w:r w:rsidRPr="002B177D">
              <w:t>24%</w:t>
            </w:r>
          </w:p>
        </w:tc>
      </w:tr>
      <w:tr w:rsidR="00430C2F" w:rsidRPr="00AC750B" w14:paraId="2C772C95" w14:textId="3DF6785D" w:rsidTr="007127DD">
        <w:trPr>
          <w:trHeight w:val="283"/>
        </w:trPr>
        <w:tc>
          <w:tcPr>
            <w:cnfStyle w:val="001000000000" w:firstRow="0" w:lastRow="0" w:firstColumn="1" w:lastColumn="0" w:oddVBand="0" w:evenVBand="0" w:oddHBand="0" w:evenHBand="0" w:firstRowFirstColumn="0" w:firstRowLastColumn="0" w:lastRowFirstColumn="0" w:lastRowLastColumn="0"/>
            <w:tcW w:w="787" w:type="dxa"/>
            <w:vAlign w:val="bottom"/>
          </w:tcPr>
          <w:p w14:paraId="5215678F" w14:textId="77777777" w:rsidR="00430C2F" w:rsidRPr="007D2369" w:rsidRDefault="00430C2F">
            <w:pPr>
              <w:pStyle w:val="Table1"/>
            </w:pPr>
            <w:r w:rsidRPr="007D2369">
              <w:t>2030</w:t>
            </w:r>
          </w:p>
        </w:tc>
        <w:tc>
          <w:tcPr>
            <w:tcW w:w="1842" w:type="dxa"/>
          </w:tcPr>
          <w:p w14:paraId="1A32ADEC" w14:textId="77777777" w:rsidR="00430C2F" w:rsidRDefault="00430C2F">
            <w:pPr>
              <w:pStyle w:val="Table1"/>
              <w:cnfStyle w:val="000000000000" w:firstRow="0" w:lastRow="0" w:firstColumn="0" w:lastColumn="0" w:oddVBand="0" w:evenVBand="0" w:oddHBand="0" w:evenHBand="0" w:firstRowFirstColumn="0" w:firstRowLastColumn="0" w:lastRowFirstColumn="0" w:lastRowLastColumn="0"/>
            </w:pPr>
            <w:r w:rsidRPr="007D2369">
              <w:t>21.342</w:t>
            </w:r>
          </w:p>
        </w:tc>
        <w:tc>
          <w:tcPr>
            <w:tcW w:w="1494" w:type="dxa"/>
          </w:tcPr>
          <w:p w14:paraId="3D6B1647" w14:textId="7A32D381" w:rsidR="00430C2F" w:rsidRPr="007D2369" w:rsidRDefault="00430C2F">
            <w:pPr>
              <w:pStyle w:val="Table1"/>
              <w:cnfStyle w:val="000000000000" w:firstRow="0" w:lastRow="0" w:firstColumn="0" w:lastColumn="0" w:oddVBand="0" w:evenVBand="0" w:oddHBand="0" w:evenHBand="0" w:firstRowFirstColumn="0" w:firstRowLastColumn="0" w:lastRowFirstColumn="0" w:lastRowLastColumn="0"/>
            </w:pPr>
            <w:r w:rsidRPr="00810554">
              <w:t>3%</w:t>
            </w:r>
          </w:p>
        </w:tc>
        <w:tc>
          <w:tcPr>
            <w:tcW w:w="1583" w:type="dxa"/>
          </w:tcPr>
          <w:p w14:paraId="2546E976" w14:textId="4E6CC269" w:rsidR="00430C2F" w:rsidRDefault="00430C2F">
            <w:pPr>
              <w:pStyle w:val="Table1"/>
              <w:cnfStyle w:val="000000000000" w:firstRow="0" w:lastRow="0" w:firstColumn="0" w:lastColumn="0" w:oddVBand="0" w:evenVBand="0" w:oddHBand="0" w:evenHBand="0" w:firstRowFirstColumn="0" w:firstRowLastColumn="0" w:lastRowFirstColumn="0" w:lastRowLastColumn="0"/>
            </w:pPr>
            <w:r w:rsidRPr="007D2369">
              <w:t>0.255</w:t>
            </w:r>
          </w:p>
        </w:tc>
        <w:tc>
          <w:tcPr>
            <w:tcW w:w="1382" w:type="dxa"/>
          </w:tcPr>
          <w:p w14:paraId="33746BD1" w14:textId="43C92768" w:rsidR="00430C2F" w:rsidRPr="007D2369" w:rsidRDefault="00430C2F">
            <w:pPr>
              <w:pStyle w:val="Table1"/>
              <w:cnfStyle w:val="000000000000" w:firstRow="0" w:lastRow="0" w:firstColumn="0" w:lastColumn="0" w:oddVBand="0" w:evenVBand="0" w:oddHBand="0" w:evenHBand="0" w:firstRowFirstColumn="0" w:firstRowLastColumn="0" w:lastRowFirstColumn="0" w:lastRowLastColumn="0"/>
            </w:pPr>
            <w:r w:rsidRPr="002B177D">
              <w:t>21%</w:t>
            </w:r>
          </w:p>
        </w:tc>
      </w:tr>
      <w:tr w:rsidR="00430C2F" w:rsidRPr="00AC750B" w14:paraId="06BD93AD" w14:textId="1458F736" w:rsidTr="007127DD">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787" w:type="dxa"/>
            <w:vAlign w:val="bottom"/>
          </w:tcPr>
          <w:p w14:paraId="72F62C5D" w14:textId="77777777" w:rsidR="00430C2F" w:rsidRPr="007D2369" w:rsidRDefault="00430C2F">
            <w:pPr>
              <w:pStyle w:val="Table1"/>
            </w:pPr>
            <w:r w:rsidRPr="007D2369">
              <w:t>2033</w:t>
            </w:r>
          </w:p>
        </w:tc>
        <w:tc>
          <w:tcPr>
            <w:tcW w:w="1842" w:type="dxa"/>
          </w:tcPr>
          <w:p w14:paraId="6910DCA0" w14:textId="77777777" w:rsidR="00430C2F" w:rsidRDefault="00430C2F">
            <w:pPr>
              <w:pStyle w:val="Table1"/>
              <w:cnfStyle w:val="000000100000" w:firstRow="0" w:lastRow="0" w:firstColumn="0" w:lastColumn="0" w:oddVBand="0" w:evenVBand="0" w:oddHBand="1" w:evenHBand="0" w:firstRowFirstColumn="0" w:firstRowLastColumn="0" w:lastRowFirstColumn="0" w:lastRowLastColumn="0"/>
            </w:pPr>
            <w:r w:rsidRPr="007D2369">
              <w:t>30.432</w:t>
            </w:r>
          </w:p>
        </w:tc>
        <w:tc>
          <w:tcPr>
            <w:tcW w:w="1494" w:type="dxa"/>
          </w:tcPr>
          <w:p w14:paraId="21CFE48D" w14:textId="0AE8F6AD" w:rsidR="00430C2F" w:rsidRPr="007D2369" w:rsidRDefault="00430C2F">
            <w:pPr>
              <w:pStyle w:val="Table1"/>
              <w:cnfStyle w:val="000000100000" w:firstRow="0" w:lastRow="0" w:firstColumn="0" w:lastColumn="0" w:oddVBand="0" w:evenVBand="0" w:oddHBand="1" w:evenHBand="0" w:firstRowFirstColumn="0" w:firstRowLastColumn="0" w:lastRowFirstColumn="0" w:lastRowLastColumn="0"/>
            </w:pPr>
            <w:r w:rsidRPr="00810554">
              <w:t>0%</w:t>
            </w:r>
          </w:p>
        </w:tc>
        <w:tc>
          <w:tcPr>
            <w:tcW w:w="1583" w:type="dxa"/>
          </w:tcPr>
          <w:p w14:paraId="46ECD53E" w14:textId="50427D5B" w:rsidR="00430C2F" w:rsidRDefault="00430C2F">
            <w:pPr>
              <w:pStyle w:val="Table1"/>
              <w:cnfStyle w:val="000000100000" w:firstRow="0" w:lastRow="0" w:firstColumn="0" w:lastColumn="0" w:oddVBand="0" w:evenVBand="0" w:oddHBand="1" w:evenHBand="0" w:firstRowFirstColumn="0" w:firstRowLastColumn="0" w:lastRowFirstColumn="0" w:lastRowLastColumn="0"/>
            </w:pPr>
            <w:r w:rsidRPr="007D2369">
              <w:t>0.423</w:t>
            </w:r>
          </w:p>
        </w:tc>
        <w:tc>
          <w:tcPr>
            <w:tcW w:w="1382" w:type="dxa"/>
          </w:tcPr>
          <w:p w14:paraId="341094A1" w14:textId="16F99408" w:rsidR="00430C2F" w:rsidRPr="007D2369" w:rsidRDefault="00430C2F">
            <w:pPr>
              <w:pStyle w:val="Table1"/>
              <w:cnfStyle w:val="000000100000" w:firstRow="0" w:lastRow="0" w:firstColumn="0" w:lastColumn="0" w:oddVBand="0" w:evenVBand="0" w:oddHBand="1" w:evenHBand="0" w:firstRowFirstColumn="0" w:firstRowLastColumn="0" w:lastRowFirstColumn="0" w:lastRowLastColumn="0"/>
            </w:pPr>
            <w:r w:rsidRPr="002B177D">
              <w:t>18%</w:t>
            </w:r>
          </w:p>
        </w:tc>
      </w:tr>
    </w:tbl>
    <w:p w14:paraId="31D719C2" w14:textId="77777777" w:rsidR="00EF1D77" w:rsidRPr="00AC750B" w:rsidRDefault="00EF1D77" w:rsidP="00EF1D77">
      <w:pPr>
        <w:pStyle w:val="Heading3"/>
      </w:pPr>
      <w:bookmarkStart w:id="82" w:name="_Toc383170526"/>
      <w:bookmarkStart w:id="83" w:name="_Toc426649360"/>
      <w:r w:rsidRPr="00AC750B">
        <w:t xml:space="preserve">Market </w:t>
      </w:r>
      <w:r>
        <w:t xml:space="preserve">Access </w:t>
      </w:r>
      <w:r w:rsidRPr="00AC750B">
        <w:t>Sensitivity Analysis</w:t>
      </w:r>
      <w:bookmarkEnd w:id="78"/>
      <w:bookmarkEnd w:id="82"/>
      <w:bookmarkEnd w:id="83"/>
    </w:p>
    <w:p w14:paraId="2403ED03" w14:textId="6D4CFDBD" w:rsidR="00EF1D77" w:rsidRDefault="00EF1D77" w:rsidP="00EF1D77">
      <w:pPr>
        <w:rPr>
          <w:lang w:val="en-US"/>
        </w:rPr>
      </w:pPr>
      <w:r>
        <w:rPr>
          <w:lang w:val="en-US"/>
        </w:rPr>
        <w:t xml:space="preserve">The base case assumes market access is limited to 150MW </w:t>
      </w:r>
      <w:r w:rsidR="00885878">
        <w:rPr>
          <w:lang w:val="en-US"/>
        </w:rPr>
        <w:t>and will not be available for</w:t>
      </w:r>
      <w:r>
        <w:rPr>
          <w:lang w:val="en-US"/>
        </w:rPr>
        <w:t xml:space="preserve"> 0.74%</w:t>
      </w:r>
      <w:r w:rsidR="00885878">
        <w:rPr>
          <w:lang w:val="en-US"/>
        </w:rPr>
        <w:t xml:space="preserve"> of the time</w:t>
      </w:r>
      <w:r>
        <w:rPr>
          <w:lang w:val="en-US"/>
        </w:rPr>
        <w:t xml:space="preserve">. </w:t>
      </w:r>
      <w:r w:rsidR="00885878">
        <w:rPr>
          <w:lang w:val="en-US"/>
        </w:rPr>
        <w:t xml:space="preserve">This is similar to a FOR used to model generation resources and it can be considered a FOR equivalent. </w:t>
      </w:r>
      <w:r>
        <w:rPr>
          <w:lang w:val="en-US"/>
        </w:rPr>
        <w:t>Cases in this sensitivity group address the limits to</w:t>
      </w:r>
      <w:r w:rsidR="004A6CE6">
        <w:rPr>
          <w:lang w:val="en-US"/>
        </w:rPr>
        <w:t xml:space="preserve"> </w:t>
      </w:r>
      <w:r>
        <w:rPr>
          <w:lang w:val="en-US"/>
        </w:rPr>
        <w:t>market supply and its availability.</w:t>
      </w:r>
    </w:p>
    <w:p w14:paraId="45A85525" w14:textId="46D50322" w:rsidR="00EF1D77" w:rsidRPr="00A7010B" w:rsidRDefault="00EF1D77" w:rsidP="00EF1D77">
      <w:pPr>
        <w:pStyle w:val="Heading7"/>
      </w:pPr>
      <w:bookmarkStart w:id="84" w:name="_Ref355866618"/>
      <w:r>
        <w:t xml:space="preserve">Case </w:t>
      </w:r>
      <w:r w:rsidR="00430C2F">
        <w:t>8</w:t>
      </w:r>
      <w:r>
        <w:t>.  Market Access at the B</w:t>
      </w:r>
      <w:r w:rsidRPr="00A7010B">
        <w:t>ase</w:t>
      </w:r>
      <w:r>
        <w:t xml:space="preserve"> Case</w:t>
      </w:r>
      <w:r w:rsidRPr="00A7010B">
        <w:t xml:space="preserve"> FOR</w:t>
      </w:r>
      <w:bookmarkEnd w:id="84"/>
      <w:r w:rsidRPr="00A7010B">
        <w:t xml:space="preserve"> </w:t>
      </w:r>
    </w:p>
    <w:p w14:paraId="65D74A1A" w14:textId="77FC824C" w:rsidR="00EF1D77" w:rsidRPr="00A73842" w:rsidRDefault="00EF1D77" w:rsidP="00EF1D77">
      <w:pPr>
        <w:keepNext/>
        <w:rPr>
          <w:rFonts w:cstheme="minorHAnsi"/>
          <w:lang w:val="en-US"/>
        </w:rPr>
      </w:pPr>
      <w:r>
        <w:rPr>
          <w:rFonts w:cstheme="minorHAnsi"/>
          <w:lang w:val="en-US"/>
        </w:rPr>
        <w:t xml:space="preserve">To evaluate </w:t>
      </w:r>
      <w:r w:rsidR="004A6CE6">
        <w:rPr>
          <w:rFonts w:cstheme="minorHAnsi"/>
          <w:lang w:val="en-US"/>
        </w:rPr>
        <w:t xml:space="preserve">the impact </w:t>
      </w:r>
      <w:r>
        <w:rPr>
          <w:rFonts w:cstheme="minorHAnsi"/>
          <w:lang w:val="en-US"/>
        </w:rPr>
        <w:t xml:space="preserve">of market </w:t>
      </w:r>
      <w:r w:rsidR="004A6CE6">
        <w:rPr>
          <w:rFonts w:cstheme="minorHAnsi"/>
          <w:lang w:val="en-US"/>
        </w:rPr>
        <w:t xml:space="preserve">size </w:t>
      </w:r>
      <w:r>
        <w:rPr>
          <w:rFonts w:cstheme="minorHAnsi"/>
          <w:lang w:val="en-US"/>
        </w:rPr>
        <w:t xml:space="preserve">access limits on LOLE, the MC simulation calculated LOLEs for different market limits at the base market FOR </w:t>
      </w:r>
      <w:r w:rsidR="00120DA3">
        <w:rPr>
          <w:rFonts w:cstheme="minorHAnsi"/>
          <w:lang w:val="en-US"/>
        </w:rPr>
        <w:t xml:space="preserve">equivalent </w:t>
      </w:r>
      <w:r>
        <w:rPr>
          <w:rFonts w:cstheme="minorHAnsi"/>
          <w:lang w:val="en-US"/>
        </w:rPr>
        <w:lastRenderedPageBreak/>
        <w:t>of 0.74%. Results below indicate that once WAX is operational, a</w:t>
      </w:r>
      <w:r w:rsidRPr="00A73842">
        <w:rPr>
          <w:rFonts w:cstheme="minorHAnsi"/>
          <w:lang w:val="en-US"/>
        </w:rPr>
        <w:t xml:space="preserve"> market </w:t>
      </w:r>
      <w:r>
        <w:rPr>
          <w:rFonts w:cstheme="minorHAnsi"/>
          <w:lang w:val="en-US"/>
        </w:rPr>
        <w:t>limit</w:t>
      </w:r>
      <w:r w:rsidRPr="00A73842">
        <w:rPr>
          <w:rFonts w:cstheme="minorHAnsi"/>
          <w:lang w:val="en-US"/>
        </w:rPr>
        <w:t xml:space="preserve"> of </w:t>
      </w:r>
      <w:r>
        <w:rPr>
          <w:rFonts w:cstheme="minorHAnsi"/>
          <w:lang w:val="en-US"/>
        </w:rPr>
        <w:t>around 75 MW</w:t>
      </w:r>
      <w:r w:rsidR="00430C2F">
        <w:rPr>
          <w:rStyle w:val="FootnoteReference"/>
          <w:rFonts w:cstheme="minorHAnsi"/>
          <w:lang w:val="en-US"/>
        </w:rPr>
        <w:footnoteReference w:id="26"/>
      </w:r>
      <w:r>
        <w:rPr>
          <w:rFonts w:cstheme="minorHAnsi"/>
          <w:lang w:val="en-US"/>
        </w:rPr>
        <w:t xml:space="preserve"> </w:t>
      </w:r>
      <w:r w:rsidR="004A6CE6">
        <w:rPr>
          <w:rFonts w:cstheme="minorHAnsi"/>
          <w:lang w:val="en-US"/>
        </w:rPr>
        <w:t>is</w:t>
      </w:r>
      <w:r>
        <w:rPr>
          <w:rFonts w:cstheme="minorHAnsi"/>
          <w:lang w:val="en-US"/>
        </w:rPr>
        <w:t xml:space="preserve"> sufficient to reach the LOLE target of 0.1 day/year.</w:t>
      </w:r>
    </w:p>
    <w:p w14:paraId="0F42A33C" w14:textId="7067AD9C" w:rsidR="00EF1D77" w:rsidRDefault="00EF1D77" w:rsidP="00EF1D77">
      <w:pPr>
        <w:pStyle w:val="TableHeading"/>
        <w:rPr>
          <w:lang w:val="en-US"/>
        </w:rPr>
      </w:pPr>
      <w:bookmarkStart w:id="85" w:name="_Toc355786984"/>
      <w:bookmarkStart w:id="86" w:name="_Toc383169315"/>
      <w:bookmarkStart w:id="87" w:name="_Toc421190638"/>
      <w:r w:rsidRPr="00947E3E">
        <w:t xml:space="preserve">Table </w:t>
      </w:r>
      <w:r>
        <w:t>3-1</w:t>
      </w:r>
      <w:r w:rsidR="00A22B13">
        <w:t>0</w:t>
      </w:r>
      <w:r>
        <w:t xml:space="preserve">: </w:t>
      </w:r>
      <w:r w:rsidRPr="00947E3E">
        <w:t xml:space="preserve"> </w:t>
      </w:r>
      <w:r>
        <w:t xml:space="preserve">Case </w:t>
      </w:r>
      <w:r w:rsidR="00430C2F">
        <w:t>8</w:t>
      </w:r>
      <w:r>
        <w:t xml:space="preserve">- </w:t>
      </w:r>
      <w:r w:rsidRPr="002F7EE4">
        <w:rPr>
          <w:lang w:val="en-US"/>
        </w:rPr>
        <w:t>LOLE at Different Market Sizes</w:t>
      </w:r>
      <w:bookmarkEnd w:id="85"/>
      <w:bookmarkEnd w:id="86"/>
      <w:bookmarkEnd w:id="87"/>
    </w:p>
    <w:tbl>
      <w:tblPr>
        <w:tblStyle w:val="LightList-Accent11"/>
        <w:tblW w:w="6408" w:type="dxa"/>
        <w:jc w:val="center"/>
        <w:tblLook w:val="04A0" w:firstRow="1" w:lastRow="0" w:firstColumn="1" w:lastColumn="0" w:noHBand="0" w:noVBand="1"/>
      </w:tblPr>
      <w:tblGrid>
        <w:gridCol w:w="817"/>
        <w:gridCol w:w="1181"/>
        <w:gridCol w:w="1170"/>
        <w:gridCol w:w="1080"/>
        <w:gridCol w:w="1080"/>
        <w:gridCol w:w="1080"/>
      </w:tblGrid>
      <w:tr w:rsidR="00EF1D77" w:rsidRPr="00E24C3D" w14:paraId="25DD1FE1" w14:textId="77777777" w:rsidTr="00656AF0">
        <w:trPr>
          <w:cnfStyle w:val="100000000000" w:firstRow="1" w:lastRow="0" w:firstColumn="0" w:lastColumn="0" w:oddVBand="0" w:evenVBand="0" w:oddHBand="0" w:evenHBand="0" w:firstRowFirstColumn="0" w:firstRowLastColumn="0" w:lastRowFirstColumn="0" w:lastRowLastColumn="0"/>
          <w:cantSplit/>
          <w:tblHeader/>
          <w:jc w:val="center"/>
        </w:trPr>
        <w:tc>
          <w:tcPr>
            <w:cnfStyle w:val="001000000000" w:firstRow="0" w:lastRow="0" w:firstColumn="1" w:lastColumn="0" w:oddVBand="0" w:evenVBand="0" w:oddHBand="0" w:evenHBand="0" w:firstRowFirstColumn="0" w:firstRowLastColumn="0" w:lastRowFirstColumn="0" w:lastRowLastColumn="0"/>
            <w:tcW w:w="817" w:type="dxa"/>
          </w:tcPr>
          <w:p w14:paraId="0A7CFBD5" w14:textId="77777777" w:rsidR="00EF1D77" w:rsidRPr="00E24C3D" w:rsidRDefault="00EF1D77" w:rsidP="00656AF0">
            <w:pPr>
              <w:pStyle w:val="Table1"/>
            </w:pPr>
            <w:r w:rsidRPr="00E24C3D">
              <w:t>Year</w:t>
            </w:r>
          </w:p>
        </w:tc>
        <w:tc>
          <w:tcPr>
            <w:tcW w:w="1181" w:type="dxa"/>
          </w:tcPr>
          <w:p w14:paraId="77D5D558" w14:textId="77777777" w:rsidR="00EF1D77" w:rsidRPr="00E24C3D" w:rsidRDefault="00EF1D77" w:rsidP="00656AF0">
            <w:pPr>
              <w:pStyle w:val="Table1"/>
              <w:cnfStyle w:val="100000000000" w:firstRow="1" w:lastRow="0" w:firstColumn="0" w:lastColumn="0" w:oddVBand="0" w:evenVBand="0" w:oddHBand="0" w:evenHBand="0" w:firstRowFirstColumn="0" w:firstRowLastColumn="0" w:lastRowFirstColumn="0" w:lastRowLastColumn="0"/>
            </w:pPr>
            <w:r w:rsidRPr="00E24C3D">
              <w:t>0 MW</w:t>
            </w:r>
          </w:p>
        </w:tc>
        <w:tc>
          <w:tcPr>
            <w:tcW w:w="1170" w:type="dxa"/>
          </w:tcPr>
          <w:p w14:paraId="61668F4C" w14:textId="77777777" w:rsidR="00EF1D77" w:rsidRPr="00E24C3D" w:rsidRDefault="00EF1D77" w:rsidP="00656AF0">
            <w:pPr>
              <w:pStyle w:val="Table1"/>
              <w:cnfStyle w:val="100000000000" w:firstRow="1" w:lastRow="0" w:firstColumn="0" w:lastColumn="0" w:oddVBand="0" w:evenVBand="0" w:oddHBand="0" w:evenHBand="0" w:firstRowFirstColumn="0" w:firstRowLastColumn="0" w:lastRowFirstColumn="0" w:lastRowLastColumn="0"/>
            </w:pPr>
            <w:r w:rsidRPr="00E24C3D">
              <w:t>50 MW</w:t>
            </w:r>
          </w:p>
        </w:tc>
        <w:tc>
          <w:tcPr>
            <w:tcW w:w="1080" w:type="dxa"/>
          </w:tcPr>
          <w:p w14:paraId="36943A0A" w14:textId="77777777" w:rsidR="00EF1D77" w:rsidRPr="00E24C3D" w:rsidRDefault="00EF1D77" w:rsidP="00656AF0">
            <w:pPr>
              <w:pStyle w:val="Table1"/>
              <w:cnfStyle w:val="100000000000" w:firstRow="1" w:lastRow="0" w:firstColumn="0" w:lastColumn="0" w:oddVBand="0" w:evenVBand="0" w:oddHBand="0" w:evenHBand="0" w:firstRowFirstColumn="0" w:firstRowLastColumn="0" w:lastRowFirstColumn="0" w:lastRowLastColumn="0"/>
            </w:pPr>
            <w:r w:rsidRPr="00E24C3D">
              <w:t>75 MW</w:t>
            </w:r>
          </w:p>
        </w:tc>
        <w:tc>
          <w:tcPr>
            <w:tcW w:w="1080" w:type="dxa"/>
          </w:tcPr>
          <w:p w14:paraId="6F836CE5" w14:textId="77777777" w:rsidR="00EF1D77" w:rsidRPr="00E24C3D" w:rsidRDefault="00EF1D77" w:rsidP="00656AF0">
            <w:pPr>
              <w:pStyle w:val="Table1"/>
              <w:cnfStyle w:val="100000000000" w:firstRow="1" w:lastRow="0" w:firstColumn="0" w:lastColumn="0" w:oddVBand="0" w:evenVBand="0" w:oddHBand="0" w:evenHBand="0" w:firstRowFirstColumn="0" w:firstRowLastColumn="0" w:lastRowFirstColumn="0" w:lastRowLastColumn="0"/>
            </w:pPr>
            <w:r w:rsidRPr="00E24C3D">
              <w:t>100 MW</w:t>
            </w:r>
          </w:p>
        </w:tc>
        <w:tc>
          <w:tcPr>
            <w:tcW w:w="1080" w:type="dxa"/>
          </w:tcPr>
          <w:p w14:paraId="1FF5702D" w14:textId="77777777" w:rsidR="00EF1D77" w:rsidRPr="00E24C3D" w:rsidRDefault="00EF1D77" w:rsidP="00656AF0">
            <w:pPr>
              <w:pStyle w:val="Table1"/>
              <w:cnfStyle w:val="100000000000" w:firstRow="1" w:lastRow="0" w:firstColumn="0" w:lastColumn="0" w:oddVBand="0" w:evenVBand="0" w:oddHBand="0" w:evenHBand="0" w:firstRowFirstColumn="0" w:firstRowLastColumn="0" w:lastRowFirstColumn="0" w:lastRowLastColumn="0"/>
            </w:pPr>
            <w:r w:rsidRPr="00E24C3D">
              <w:t>150 MW</w:t>
            </w:r>
          </w:p>
        </w:tc>
      </w:tr>
      <w:tr w:rsidR="00EF1D77" w:rsidRPr="00AC750B" w14:paraId="4E05211E" w14:textId="77777777" w:rsidTr="00656AF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17" w:type="dxa"/>
            <w:vAlign w:val="bottom"/>
          </w:tcPr>
          <w:p w14:paraId="2F1CB0B0" w14:textId="77777777" w:rsidR="00EF1D77" w:rsidRPr="00AC750B" w:rsidRDefault="00EF1D77" w:rsidP="00656AF0">
            <w:pPr>
              <w:pStyle w:val="Table1"/>
            </w:pPr>
            <w:r w:rsidRPr="00AC750B">
              <w:t>2014</w:t>
            </w:r>
          </w:p>
        </w:tc>
        <w:tc>
          <w:tcPr>
            <w:tcW w:w="1181" w:type="dxa"/>
          </w:tcPr>
          <w:p w14:paraId="7AB32162"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0.669</w:t>
            </w:r>
          </w:p>
        </w:tc>
        <w:tc>
          <w:tcPr>
            <w:tcW w:w="1170" w:type="dxa"/>
          </w:tcPr>
          <w:p w14:paraId="45149773"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0.011</w:t>
            </w:r>
          </w:p>
        </w:tc>
        <w:tc>
          <w:tcPr>
            <w:tcW w:w="1080" w:type="dxa"/>
          </w:tcPr>
          <w:p w14:paraId="4202F184"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0.016</w:t>
            </w:r>
          </w:p>
        </w:tc>
        <w:tc>
          <w:tcPr>
            <w:tcW w:w="1080" w:type="dxa"/>
          </w:tcPr>
          <w:p w14:paraId="05F82D86"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0.013</w:t>
            </w:r>
          </w:p>
        </w:tc>
        <w:tc>
          <w:tcPr>
            <w:tcW w:w="1080" w:type="dxa"/>
          </w:tcPr>
          <w:p w14:paraId="1CF7159E"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0.016</w:t>
            </w:r>
          </w:p>
        </w:tc>
      </w:tr>
      <w:tr w:rsidR="00EF1D77" w:rsidRPr="00AC750B" w14:paraId="607621B7" w14:textId="77777777" w:rsidTr="00656AF0">
        <w:trPr>
          <w:trHeight w:val="283"/>
          <w:jc w:val="center"/>
        </w:trPr>
        <w:tc>
          <w:tcPr>
            <w:cnfStyle w:val="001000000000" w:firstRow="0" w:lastRow="0" w:firstColumn="1" w:lastColumn="0" w:oddVBand="0" w:evenVBand="0" w:oddHBand="0" w:evenHBand="0" w:firstRowFirstColumn="0" w:firstRowLastColumn="0" w:lastRowFirstColumn="0" w:lastRowLastColumn="0"/>
            <w:tcW w:w="817" w:type="dxa"/>
            <w:vAlign w:val="bottom"/>
          </w:tcPr>
          <w:p w14:paraId="35D46A1E" w14:textId="77777777" w:rsidR="00EF1D77" w:rsidRPr="00AC750B" w:rsidRDefault="00EF1D77" w:rsidP="00656AF0">
            <w:pPr>
              <w:pStyle w:val="Table1"/>
            </w:pPr>
            <w:r w:rsidRPr="00AC750B">
              <w:t>2015</w:t>
            </w:r>
          </w:p>
        </w:tc>
        <w:tc>
          <w:tcPr>
            <w:tcW w:w="1181" w:type="dxa"/>
          </w:tcPr>
          <w:p w14:paraId="30F7E228"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1.387</w:t>
            </w:r>
          </w:p>
        </w:tc>
        <w:tc>
          <w:tcPr>
            <w:tcW w:w="1170" w:type="dxa"/>
          </w:tcPr>
          <w:p w14:paraId="30ABE988"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0.251</w:t>
            </w:r>
          </w:p>
        </w:tc>
        <w:tc>
          <w:tcPr>
            <w:tcW w:w="1080" w:type="dxa"/>
          </w:tcPr>
          <w:p w14:paraId="4E2AC772"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0.159</w:t>
            </w:r>
          </w:p>
        </w:tc>
        <w:tc>
          <w:tcPr>
            <w:tcW w:w="1080" w:type="dxa"/>
          </w:tcPr>
          <w:p w14:paraId="5A322D5D"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0.084</w:t>
            </w:r>
          </w:p>
        </w:tc>
        <w:tc>
          <w:tcPr>
            <w:tcW w:w="1080" w:type="dxa"/>
          </w:tcPr>
          <w:p w14:paraId="52033787"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0.024</w:t>
            </w:r>
          </w:p>
        </w:tc>
      </w:tr>
      <w:tr w:rsidR="00EF1D77" w:rsidRPr="00AC750B" w14:paraId="1E18FCA5" w14:textId="77777777" w:rsidTr="00656AF0">
        <w:trPr>
          <w:cnfStyle w:val="000000100000" w:firstRow="0" w:lastRow="0" w:firstColumn="0" w:lastColumn="0" w:oddVBand="0" w:evenVBand="0" w:oddHBand="1" w:evenHBand="0" w:firstRowFirstColumn="0" w:firstRowLastColumn="0" w:lastRowFirstColumn="0" w:lastRowLastColumn="0"/>
          <w:trHeight w:val="122"/>
          <w:jc w:val="center"/>
        </w:trPr>
        <w:tc>
          <w:tcPr>
            <w:cnfStyle w:val="001000000000" w:firstRow="0" w:lastRow="0" w:firstColumn="1" w:lastColumn="0" w:oddVBand="0" w:evenVBand="0" w:oddHBand="0" w:evenHBand="0" w:firstRowFirstColumn="0" w:firstRowLastColumn="0" w:lastRowFirstColumn="0" w:lastRowLastColumn="0"/>
            <w:tcW w:w="817" w:type="dxa"/>
            <w:vAlign w:val="bottom"/>
          </w:tcPr>
          <w:p w14:paraId="2EF843FF" w14:textId="77777777" w:rsidR="00EF1D77" w:rsidRPr="00AC750B" w:rsidRDefault="00EF1D77" w:rsidP="00656AF0">
            <w:pPr>
              <w:pStyle w:val="Table1"/>
            </w:pPr>
            <w:r w:rsidRPr="00AC750B">
              <w:t>2016</w:t>
            </w:r>
          </w:p>
        </w:tc>
        <w:tc>
          <w:tcPr>
            <w:tcW w:w="1181" w:type="dxa"/>
          </w:tcPr>
          <w:p w14:paraId="0555514D"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0.463</w:t>
            </w:r>
          </w:p>
        </w:tc>
        <w:tc>
          <w:tcPr>
            <w:tcW w:w="1170" w:type="dxa"/>
          </w:tcPr>
          <w:p w14:paraId="351CAB46"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0.039</w:t>
            </w:r>
          </w:p>
        </w:tc>
        <w:tc>
          <w:tcPr>
            <w:tcW w:w="1080" w:type="dxa"/>
          </w:tcPr>
          <w:p w14:paraId="27E36E07"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0.005</w:t>
            </w:r>
          </w:p>
        </w:tc>
        <w:tc>
          <w:tcPr>
            <w:tcW w:w="1080" w:type="dxa"/>
          </w:tcPr>
          <w:p w14:paraId="5B00D4F6"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0.009</w:t>
            </w:r>
          </w:p>
        </w:tc>
        <w:tc>
          <w:tcPr>
            <w:tcW w:w="1080" w:type="dxa"/>
          </w:tcPr>
          <w:p w14:paraId="49F6DA14"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0.016</w:t>
            </w:r>
          </w:p>
        </w:tc>
      </w:tr>
      <w:tr w:rsidR="00EF1D77" w:rsidRPr="00AC750B" w14:paraId="32A6E165" w14:textId="77777777" w:rsidTr="00656AF0">
        <w:trPr>
          <w:trHeight w:val="283"/>
          <w:jc w:val="center"/>
        </w:trPr>
        <w:tc>
          <w:tcPr>
            <w:cnfStyle w:val="001000000000" w:firstRow="0" w:lastRow="0" w:firstColumn="1" w:lastColumn="0" w:oddVBand="0" w:evenVBand="0" w:oddHBand="0" w:evenHBand="0" w:firstRowFirstColumn="0" w:firstRowLastColumn="0" w:lastRowFirstColumn="0" w:lastRowLastColumn="0"/>
            <w:tcW w:w="817" w:type="dxa"/>
            <w:vAlign w:val="bottom"/>
          </w:tcPr>
          <w:p w14:paraId="3FA11571" w14:textId="77777777" w:rsidR="00EF1D77" w:rsidRPr="00AC750B" w:rsidRDefault="00EF1D77" w:rsidP="00656AF0">
            <w:pPr>
              <w:pStyle w:val="Table1"/>
            </w:pPr>
            <w:r w:rsidRPr="00AC750B">
              <w:t>2017</w:t>
            </w:r>
          </w:p>
        </w:tc>
        <w:tc>
          <w:tcPr>
            <w:tcW w:w="1181" w:type="dxa"/>
          </w:tcPr>
          <w:p w14:paraId="21C05F2D"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0.441</w:t>
            </w:r>
          </w:p>
        </w:tc>
        <w:tc>
          <w:tcPr>
            <w:tcW w:w="1170" w:type="dxa"/>
          </w:tcPr>
          <w:p w14:paraId="6C1013FE"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0.052</w:t>
            </w:r>
          </w:p>
        </w:tc>
        <w:tc>
          <w:tcPr>
            <w:tcW w:w="1080" w:type="dxa"/>
          </w:tcPr>
          <w:p w14:paraId="3FDBDE86"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0.011</w:t>
            </w:r>
          </w:p>
        </w:tc>
        <w:tc>
          <w:tcPr>
            <w:tcW w:w="1080" w:type="dxa"/>
          </w:tcPr>
          <w:p w14:paraId="70F4A034"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0.007</w:t>
            </w:r>
          </w:p>
        </w:tc>
        <w:tc>
          <w:tcPr>
            <w:tcW w:w="1080" w:type="dxa"/>
          </w:tcPr>
          <w:p w14:paraId="73B2EFD0"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0.009</w:t>
            </w:r>
          </w:p>
        </w:tc>
      </w:tr>
      <w:tr w:rsidR="00EF1D77" w:rsidRPr="00AC750B" w14:paraId="5EA1D60F" w14:textId="77777777" w:rsidTr="00656AF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17" w:type="dxa"/>
            <w:vAlign w:val="bottom"/>
          </w:tcPr>
          <w:p w14:paraId="4721A9A5" w14:textId="77777777" w:rsidR="00EF1D77" w:rsidRPr="00AC750B" w:rsidRDefault="00EF1D77" w:rsidP="00656AF0">
            <w:pPr>
              <w:pStyle w:val="Table1"/>
            </w:pPr>
            <w:r w:rsidRPr="00AC750B">
              <w:t>2018</w:t>
            </w:r>
          </w:p>
        </w:tc>
        <w:tc>
          <w:tcPr>
            <w:tcW w:w="1181" w:type="dxa"/>
          </w:tcPr>
          <w:p w14:paraId="7176037E"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0.973</w:t>
            </w:r>
          </w:p>
        </w:tc>
        <w:tc>
          <w:tcPr>
            <w:tcW w:w="1170" w:type="dxa"/>
          </w:tcPr>
          <w:p w14:paraId="5770EFD5"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0.084</w:t>
            </w:r>
          </w:p>
        </w:tc>
        <w:tc>
          <w:tcPr>
            <w:tcW w:w="1080" w:type="dxa"/>
          </w:tcPr>
          <w:p w14:paraId="22ADB059"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0.080</w:t>
            </w:r>
          </w:p>
        </w:tc>
        <w:tc>
          <w:tcPr>
            <w:tcW w:w="1080" w:type="dxa"/>
          </w:tcPr>
          <w:p w14:paraId="7C53045F"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0.055</w:t>
            </w:r>
          </w:p>
        </w:tc>
        <w:tc>
          <w:tcPr>
            <w:tcW w:w="1080" w:type="dxa"/>
          </w:tcPr>
          <w:p w14:paraId="17DB99A4"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0.016</w:t>
            </w:r>
          </w:p>
        </w:tc>
      </w:tr>
      <w:tr w:rsidR="00EF1D77" w:rsidRPr="00AC750B" w14:paraId="1A7A29E6" w14:textId="77777777" w:rsidTr="00656AF0">
        <w:trPr>
          <w:trHeight w:val="283"/>
          <w:jc w:val="center"/>
        </w:trPr>
        <w:tc>
          <w:tcPr>
            <w:cnfStyle w:val="001000000000" w:firstRow="0" w:lastRow="0" w:firstColumn="1" w:lastColumn="0" w:oddVBand="0" w:evenVBand="0" w:oddHBand="0" w:evenHBand="0" w:firstRowFirstColumn="0" w:firstRowLastColumn="0" w:lastRowFirstColumn="0" w:lastRowLastColumn="0"/>
            <w:tcW w:w="817" w:type="dxa"/>
            <w:vAlign w:val="bottom"/>
          </w:tcPr>
          <w:p w14:paraId="019DE11C" w14:textId="77777777" w:rsidR="00EF1D77" w:rsidRPr="00AC750B" w:rsidRDefault="00EF1D77" w:rsidP="00656AF0">
            <w:pPr>
              <w:pStyle w:val="Table1"/>
            </w:pPr>
            <w:r w:rsidRPr="00AC750B">
              <w:t>2019</w:t>
            </w:r>
          </w:p>
        </w:tc>
        <w:tc>
          <w:tcPr>
            <w:tcW w:w="1181" w:type="dxa"/>
          </w:tcPr>
          <w:p w14:paraId="20D1929D"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0.995</w:t>
            </w:r>
          </w:p>
        </w:tc>
        <w:tc>
          <w:tcPr>
            <w:tcW w:w="1170" w:type="dxa"/>
          </w:tcPr>
          <w:p w14:paraId="22F267A8"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0.092</w:t>
            </w:r>
          </w:p>
        </w:tc>
        <w:tc>
          <w:tcPr>
            <w:tcW w:w="1080" w:type="dxa"/>
          </w:tcPr>
          <w:p w14:paraId="487F561C"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0.073</w:t>
            </w:r>
          </w:p>
        </w:tc>
        <w:tc>
          <w:tcPr>
            <w:tcW w:w="1080" w:type="dxa"/>
          </w:tcPr>
          <w:p w14:paraId="58174999"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0.057</w:t>
            </w:r>
          </w:p>
        </w:tc>
        <w:tc>
          <w:tcPr>
            <w:tcW w:w="1080" w:type="dxa"/>
          </w:tcPr>
          <w:p w14:paraId="106F5770"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0.020</w:t>
            </w:r>
          </w:p>
        </w:tc>
      </w:tr>
      <w:tr w:rsidR="00EF1D77" w:rsidRPr="00AC750B" w14:paraId="4F68E8A0" w14:textId="77777777" w:rsidTr="00656AF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17" w:type="dxa"/>
            <w:vAlign w:val="bottom"/>
          </w:tcPr>
          <w:p w14:paraId="5BA61799" w14:textId="77777777" w:rsidR="00EF1D77" w:rsidRPr="00AC750B" w:rsidRDefault="00EF1D77" w:rsidP="00656AF0">
            <w:pPr>
              <w:pStyle w:val="Table1"/>
            </w:pPr>
            <w:r w:rsidRPr="00AC750B">
              <w:t>2020</w:t>
            </w:r>
          </w:p>
        </w:tc>
        <w:tc>
          <w:tcPr>
            <w:tcW w:w="1181" w:type="dxa"/>
          </w:tcPr>
          <w:p w14:paraId="0DE42785"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1.027</w:t>
            </w:r>
          </w:p>
        </w:tc>
        <w:tc>
          <w:tcPr>
            <w:tcW w:w="1170" w:type="dxa"/>
          </w:tcPr>
          <w:p w14:paraId="04CCD21E"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0.102</w:t>
            </w:r>
          </w:p>
        </w:tc>
        <w:tc>
          <w:tcPr>
            <w:tcW w:w="1080" w:type="dxa"/>
          </w:tcPr>
          <w:p w14:paraId="40A5703C"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0.081</w:t>
            </w:r>
          </w:p>
        </w:tc>
        <w:tc>
          <w:tcPr>
            <w:tcW w:w="1080" w:type="dxa"/>
          </w:tcPr>
          <w:p w14:paraId="25CF9580"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0.067</w:t>
            </w:r>
          </w:p>
        </w:tc>
        <w:tc>
          <w:tcPr>
            <w:tcW w:w="1080" w:type="dxa"/>
          </w:tcPr>
          <w:p w14:paraId="27A711F7"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0.015</w:t>
            </w:r>
          </w:p>
        </w:tc>
      </w:tr>
      <w:tr w:rsidR="00EF1D77" w:rsidRPr="00AC750B" w14:paraId="20141B38" w14:textId="77777777" w:rsidTr="00656AF0">
        <w:trPr>
          <w:trHeight w:val="283"/>
          <w:jc w:val="center"/>
        </w:trPr>
        <w:tc>
          <w:tcPr>
            <w:cnfStyle w:val="001000000000" w:firstRow="0" w:lastRow="0" w:firstColumn="1" w:lastColumn="0" w:oddVBand="0" w:evenVBand="0" w:oddHBand="0" w:evenHBand="0" w:firstRowFirstColumn="0" w:firstRowLastColumn="0" w:lastRowFirstColumn="0" w:lastRowLastColumn="0"/>
            <w:tcW w:w="817" w:type="dxa"/>
            <w:vAlign w:val="bottom"/>
          </w:tcPr>
          <w:p w14:paraId="06B12F4D" w14:textId="77777777" w:rsidR="00EF1D77" w:rsidRPr="00AC750B" w:rsidRDefault="00EF1D77" w:rsidP="00656AF0">
            <w:pPr>
              <w:pStyle w:val="Table1"/>
            </w:pPr>
            <w:r w:rsidRPr="00AC750B">
              <w:t>2025</w:t>
            </w:r>
          </w:p>
        </w:tc>
        <w:tc>
          <w:tcPr>
            <w:tcW w:w="1181" w:type="dxa"/>
          </w:tcPr>
          <w:p w14:paraId="56704309"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1.443</w:t>
            </w:r>
          </w:p>
        </w:tc>
        <w:tc>
          <w:tcPr>
            <w:tcW w:w="1170" w:type="dxa"/>
          </w:tcPr>
          <w:p w14:paraId="2BC8949A"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0.185</w:t>
            </w:r>
          </w:p>
        </w:tc>
        <w:tc>
          <w:tcPr>
            <w:tcW w:w="1080" w:type="dxa"/>
          </w:tcPr>
          <w:p w14:paraId="48F993BD"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0.100</w:t>
            </w:r>
          </w:p>
        </w:tc>
        <w:tc>
          <w:tcPr>
            <w:tcW w:w="1080" w:type="dxa"/>
          </w:tcPr>
          <w:p w14:paraId="29A5918D"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0.052</w:t>
            </w:r>
          </w:p>
        </w:tc>
        <w:tc>
          <w:tcPr>
            <w:tcW w:w="1080" w:type="dxa"/>
          </w:tcPr>
          <w:p w14:paraId="4FCDAA89"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0.021</w:t>
            </w:r>
          </w:p>
        </w:tc>
      </w:tr>
      <w:tr w:rsidR="00EF1D77" w:rsidRPr="00AC750B" w14:paraId="25B895E4" w14:textId="77777777" w:rsidTr="00656AF0">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817" w:type="dxa"/>
            <w:vAlign w:val="bottom"/>
          </w:tcPr>
          <w:p w14:paraId="3E64F7D4" w14:textId="77777777" w:rsidR="00EF1D77" w:rsidRPr="00AC750B" w:rsidRDefault="00EF1D77" w:rsidP="00656AF0">
            <w:pPr>
              <w:pStyle w:val="Table1"/>
            </w:pPr>
            <w:r w:rsidRPr="00AC750B">
              <w:t>2030</w:t>
            </w:r>
          </w:p>
        </w:tc>
        <w:tc>
          <w:tcPr>
            <w:tcW w:w="1181" w:type="dxa"/>
          </w:tcPr>
          <w:p w14:paraId="42845A9B"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1.527</w:t>
            </w:r>
          </w:p>
        </w:tc>
        <w:tc>
          <w:tcPr>
            <w:tcW w:w="1170" w:type="dxa"/>
          </w:tcPr>
          <w:p w14:paraId="6A94B6EF"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0.149</w:t>
            </w:r>
          </w:p>
        </w:tc>
        <w:tc>
          <w:tcPr>
            <w:tcW w:w="1080" w:type="dxa"/>
          </w:tcPr>
          <w:p w14:paraId="663AEBBA"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0.104</w:t>
            </w:r>
          </w:p>
        </w:tc>
        <w:tc>
          <w:tcPr>
            <w:tcW w:w="1080" w:type="dxa"/>
          </w:tcPr>
          <w:p w14:paraId="7D7236E7"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0.078</w:t>
            </w:r>
          </w:p>
        </w:tc>
        <w:tc>
          <w:tcPr>
            <w:tcW w:w="1080" w:type="dxa"/>
          </w:tcPr>
          <w:p w14:paraId="21B1312F" w14:textId="77777777" w:rsidR="00EF1D77" w:rsidRPr="00AC750B"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AC750B">
              <w:t>0.024</w:t>
            </w:r>
          </w:p>
        </w:tc>
      </w:tr>
      <w:tr w:rsidR="00EF1D77" w:rsidRPr="00AC750B" w14:paraId="37175A70" w14:textId="77777777" w:rsidTr="00656AF0">
        <w:trPr>
          <w:trHeight w:val="283"/>
          <w:jc w:val="center"/>
        </w:trPr>
        <w:tc>
          <w:tcPr>
            <w:cnfStyle w:val="001000000000" w:firstRow="0" w:lastRow="0" w:firstColumn="1" w:lastColumn="0" w:oddVBand="0" w:evenVBand="0" w:oddHBand="0" w:evenHBand="0" w:firstRowFirstColumn="0" w:firstRowLastColumn="0" w:lastRowFirstColumn="0" w:lastRowLastColumn="0"/>
            <w:tcW w:w="817" w:type="dxa"/>
            <w:vAlign w:val="bottom"/>
          </w:tcPr>
          <w:p w14:paraId="355B200C" w14:textId="77777777" w:rsidR="00EF1D77" w:rsidRPr="00AC750B" w:rsidRDefault="00EF1D77" w:rsidP="00656AF0">
            <w:pPr>
              <w:pStyle w:val="Table1"/>
            </w:pPr>
            <w:r w:rsidRPr="00AC750B">
              <w:t>2033</w:t>
            </w:r>
          </w:p>
        </w:tc>
        <w:tc>
          <w:tcPr>
            <w:tcW w:w="1181" w:type="dxa"/>
          </w:tcPr>
          <w:p w14:paraId="03E94C7F"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2.062</w:t>
            </w:r>
          </w:p>
        </w:tc>
        <w:tc>
          <w:tcPr>
            <w:tcW w:w="1170" w:type="dxa"/>
          </w:tcPr>
          <w:p w14:paraId="28285956"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0.179</w:t>
            </w:r>
          </w:p>
        </w:tc>
        <w:tc>
          <w:tcPr>
            <w:tcW w:w="1080" w:type="dxa"/>
          </w:tcPr>
          <w:p w14:paraId="2EF810BC"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0.105</w:t>
            </w:r>
          </w:p>
        </w:tc>
        <w:tc>
          <w:tcPr>
            <w:tcW w:w="1080" w:type="dxa"/>
          </w:tcPr>
          <w:p w14:paraId="7DA6C3A0"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0.083</w:t>
            </w:r>
          </w:p>
        </w:tc>
        <w:tc>
          <w:tcPr>
            <w:tcW w:w="1080" w:type="dxa"/>
          </w:tcPr>
          <w:p w14:paraId="01ABCE56" w14:textId="77777777" w:rsidR="00EF1D77" w:rsidRPr="00AC750B"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AC750B">
              <w:t>0.030</w:t>
            </w:r>
          </w:p>
        </w:tc>
      </w:tr>
    </w:tbl>
    <w:p w14:paraId="15F54014" w14:textId="77777777" w:rsidR="00EF1D77" w:rsidRDefault="00EF1D77" w:rsidP="00EF1D77">
      <w:pPr>
        <w:pStyle w:val="FigureHeading"/>
      </w:pPr>
      <w:bookmarkStart w:id="88" w:name="_Toc355786990"/>
      <w:bookmarkStart w:id="89" w:name="_Toc383169334"/>
    </w:p>
    <w:p w14:paraId="7CA7EB05" w14:textId="77777777" w:rsidR="00EF1D77" w:rsidRPr="00A16FBF" w:rsidRDefault="00EF1D77" w:rsidP="00EF1D77">
      <w:pPr>
        <w:pStyle w:val="FigureHeading"/>
      </w:pPr>
      <w:bookmarkStart w:id="90" w:name="_Toc421190643"/>
      <w:r w:rsidRPr="00947E3E">
        <w:t xml:space="preserve">Figure </w:t>
      </w:r>
      <w:r>
        <w:t xml:space="preserve">3-2: </w:t>
      </w:r>
      <w:r w:rsidRPr="00947E3E">
        <w:t xml:space="preserve"> </w:t>
      </w:r>
      <w:r w:rsidRPr="002F7EE4">
        <w:rPr>
          <w:lang w:val="en-US"/>
        </w:rPr>
        <w:t>LOLE at Different Market Sizes</w:t>
      </w:r>
      <w:bookmarkEnd w:id="88"/>
      <w:bookmarkEnd w:id="89"/>
      <w:bookmarkEnd w:id="90"/>
    </w:p>
    <w:p w14:paraId="50F02204" w14:textId="77777777" w:rsidR="00EF1D77" w:rsidRDefault="00EF1D77" w:rsidP="00EF1D77">
      <w:pPr>
        <w:pStyle w:val="FigureCentre"/>
        <w:rPr>
          <w:rFonts w:cstheme="minorHAnsi"/>
          <w:lang w:val="en-US"/>
        </w:rPr>
      </w:pPr>
      <w:r>
        <w:rPr>
          <w:noProof/>
          <w:lang w:eastAsia="en-CA"/>
        </w:rPr>
        <w:drawing>
          <wp:inline distT="0" distB="0" distL="0" distR="0" wp14:anchorId="39A1A2BD" wp14:editId="08ED0E98">
            <wp:extent cx="4320000" cy="2524125"/>
            <wp:effectExtent l="0" t="0" r="4445"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320000" cy="2524125"/>
                    </a:xfrm>
                    <a:prstGeom prst="rect">
                      <a:avLst/>
                    </a:prstGeom>
                    <a:noFill/>
                    <a:ln>
                      <a:noFill/>
                    </a:ln>
                  </pic:spPr>
                </pic:pic>
              </a:graphicData>
            </a:graphic>
          </wp:inline>
        </w:drawing>
      </w:r>
      <w:r w:rsidRPr="00B9029D" w:rsidDel="00B9029D">
        <w:t xml:space="preserve"> </w:t>
      </w:r>
    </w:p>
    <w:p w14:paraId="2755CF64" w14:textId="0FEC9193" w:rsidR="00EF1D77" w:rsidRDefault="00EF1D77" w:rsidP="00EF1D77">
      <w:pPr>
        <w:rPr>
          <w:lang w:val="en-US"/>
        </w:rPr>
      </w:pPr>
      <w:bookmarkStart w:id="91" w:name="_Ref355866981"/>
      <w:r>
        <w:rPr>
          <w:lang w:val="en-US"/>
        </w:rPr>
        <w:t xml:space="preserve">PRM </w:t>
      </w:r>
      <w:r w:rsidR="00EE4BD9">
        <w:rPr>
          <w:lang w:val="en-US"/>
        </w:rPr>
        <w:t xml:space="preserve">(in </w:t>
      </w:r>
      <w:r>
        <w:rPr>
          <w:lang w:val="en-US"/>
        </w:rPr>
        <w:t>percentage</w:t>
      </w:r>
      <w:r w:rsidR="00EE4BD9">
        <w:rPr>
          <w:lang w:val="en-US"/>
        </w:rPr>
        <w:t>)</w:t>
      </w:r>
      <w:r>
        <w:rPr>
          <w:lang w:val="en-US"/>
        </w:rPr>
        <w:t xml:space="preserve"> with a market size of 75 MW as the minimum market size are shown in Table E-</w:t>
      </w:r>
      <w:r w:rsidR="000276DA">
        <w:rPr>
          <w:lang w:val="en-US"/>
        </w:rPr>
        <w:t xml:space="preserve">4 </w:t>
      </w:r>
      <w:r>
        <w:rPr>
          <w:lang w:val="en-US"/>
        </w:rPr>
        <w:t>in Appendix E.</w:t>
      </w:r>
    </w:p>
    <w:p w14:paraId="2202044D" w14:textId="1070F8B2" w:rsidR="00EF1D77" w:rsidRPr="00A7010B" w:rsidRDefault="00EF1D77" w:rsidP="00EF1D77">
      <w:pPr>
        <w:pStyle w:val="Heading7"/>
      </w:pPr>
      <w:bookmarkStart w:id="92" w:name="_Ref356368540"/>
      <w:r>
        <w:t xml:space="preserve">Case </w:t>
      </w:r>
      <w:r w:rsidR="00430C2F">
        <w:t>9</w:t>
      </w:r>
      <w:r>
        <w:t>.  No Market Access</w:t>
      </w:r>
      <w:bookmarkEnd w:id="91"/>
      <w:bookmarkEnd w:id="92"/>
    </w:p>
    <w:p w14:paraId="426BB0B3" w14:textId="77777777" w:rsidR="00EF1D77" w:rsidRDefault="00EF1D77" w:rsidP="00EF1D77">
      <w:pPr>
        <w:rPr>
          <w:lang w:val="en-US"/>
        </w:rPr>
      </w:pPr>
      <w:r>
        <w:rPr>
          <w:lang w:val="en-US"/>
        </w:rPr>
        <w:t xml:space="preserve">As mentioned in Section 2.1, utilities differ considerably in their practice to use market imports for resource adequacy requirements. </w:t>
      </w:r>
    </w:p>
    <w:p w14:paraId="38669BBE" w14:textId="7C3F89E6" w:rsidR="00EF1D77" w:rsidRDefault="00EF1D77" w:rsidP="00EF1D77">
      <w:pPr>
        <w:rPr>
          <w:lang w:val="en-US"/>
        </w:rPr>
      </w:pPr>
      <w:r>
        <w:rPr>
          <w:lang w:val="en-US"/>
        </w:rPr>
        <w:lastRenderedPageBreak/>
        <w:t xml:space="preserve">This sensitivity case tries to answer the question “What is the minimum additional capacity </w:t>
      </w:r>
      <w:r w:rsidR="00B72EF3">
        <w:rPr>
          <w:lang w:val="en-US"/>
        </w:rPr>
        <w:t xml:space="preserve">needing to be acquired </w:t>
      </w:r>
      <w:r>
        <w:rPr>
          <w:lang w:val="en-US"/>
        </w:rPr>
        <w:t xml:space="preserve">to meet the resource adequacy target of LOLE 0.1 day/year if there is no market access?”  </w:t>
      </w:r>
    </w:p>
    <w:p w14:paraId="5371A442" w14:textId="692E8D99" w:rsidR="00EF1D77" w:rsidRDefault="00EF1D77" w:rsidP="00EF1D77">
      <w:pPr>
        <w:rPr>
          <w:b/>
          <w:bCs/>
          <w:color w:val="4F81BD" w:themeColor="accent1"/>
          <w:sz w:val="20"/>
          <w:szCs w:val="18"/>
        </w:rPr>
      </w:pPr>
      <w:r>
        <w:rPr>
          <w:lang w:val="en-US"/>
        </w:rPr>
        <w:t xml:space="preserve">The preceding case showed that without market access (that is market access of 0 MW), LOLE would increase substantially and fail to meet the target of 0.1 day/year (see column 2 in Table 3-11). To </w:t>
      </w:r>
      <w:r w:rsidR="00B72EF3">
        <w:rPr>
          <w:lang w:val="en-US"/>
        </w:rPr>
        <w:t>return</w:t>
      </w:r>
      <w:r>
        <w:rPr>
          <w:lang w:val="en-US"/>
        </w:rPr>
        <w:t xml:space="preserve"> annual LOLEs to the target</w:t>
      </w:r>
      <w:r w:rsidR="00B72EF3">
        <w:rPr>
          <w:lang w:val="en-US"/>
        </w:rPr>
        <w:t xml:space="preserve"> level</w:t>
      </w:r>
      <w:r>
        <w:rPr>
          <w:lang w:val="en-US"/>
        </w:rPr>
        <w:t xml:space="preserve">, </w:t>
      </w:r>
      <w:r w:rsidR="00B72EF3">
        <w:rPr>
          <w:lang w:val="en-US"/>
        </w:rPr>
        <w:t>a</w:t>
      </w:r>
      <w:r>
        <w:rPr>
          <w:lang w:val="en-US"/>
        </w:rPr>
        <w:t>dditional capacity resource</w:t>
      </w:r>
      <w:r w:rsidR="00B72EF3">
        <w:rPr>
          <w:lang w:val="en-US"/>
        </w:rPr>
        <w:t>s</w:t>
      </w:r>
      <w:r>
        <w:rPr>
          <w:lang w:val="en-US"/>
        </w:rPr>
        <w:t xml:space="preserve"> at an assumed FOR </w:t>
      </w:r>
      <w:r w:rsidR="00B72EF3">
        <w:rPr>
          <w:lang w:val="en-US"/>
        </w:rPr>
        <w:t xml:space="preserve">of </w:t>
      </w:r>
      <w:r>
        <w:rPr>
          <w:lang w:val="en-US"/>
        </w:rPr>
        <w:t>5% (</w:t>
      </w:r>
      <w:r w:rsidR="004A036B">
        <w:rPr>
          <w:lang w:val="en-US"/>
        </w:rPr>
        <w:t>for example, an</w:t>
      </w:r>
      <w:r>
        <w:rPr>
          <w:lang w:val="en-US"/>
        </w:rPr>
        <w:t xml:space="preserve"> SCGT) </w:t>
      </w:r>
      <w:r w:rsidR="00B72EF3">
        <w:rPr>
          <w:lang w:val="en-US"/>
        </w:rPr>
        <w:t>are</w:t>
      </w:r>
      <w:r>
        <w:rPr>
          <w:lang w:val="en-US"/>
        </w:rPr>
        <w:t xml:space="preserve"> acquired on a monthly basis</w:t>
      </w:r>
      <w:r w:rsidR="00B72EF3">
        <w:rPr>
          <w:lang w:val="en-US"/>
        </w:rPr>
        <w:t xml:space="preserve"> until the target levels are met.</w:t>
      </w:r>
      <w:r>
        <w:rPr>
          <w:lang w:val="en-US"/>
        </w:rPr>
        <w:t xml:space="preserve"> </w:t>
      </w:r>
      <w:r w:rsidR="00B72EF3">
        <w:rPr>
          <w:lang w:val="en-US"/>
        </w:rPr>
        <w:t>The required</w:t>
      </w:r>
      <w:r>
        <w:rPr>
          <w:lang w:val="en-US"/>
        </w:rPr>
        <w:t xml:space="preserve"> capacity values and the resultant LOLEs is displayed in </w:t>
      </w:r>
      <w:r w:rsidR="00B72EF3">
        <w:rPr>
          <w:lang w:val="en-US"/>
        </w:rPr>
        <w:t>T</w:t>
      </w:r>
      <w:r>
        <w:rPr>
          <w:lang w:val="en-US"/>
        </w:rPr>
        <w:t>able</w:t>
      </w:r>
      <w:r w:rsidR="00B72EF3">
        <w:rPr>
          <w:lang w:val="en-US"/>
        </w:rPr>
        <w:t xml:space="preserve"> 3.12</w:t>
      </w:r>
      <w:r>
        <w:rPr>
          <w:lang w:val="en-US"/>
        </w:rPr>
        <w:t xml:space="preserve"> below. In this </w:t>
      </w:r>
      <w:r w:rsidR="00B72EF3">
        <w:rPr>
          <w:lang w:val="en-US"/>
        </w:rPr>
        <w:t>scenario</w:t>
      </w:r>
      <w:r>
        <w:rPr>
          <w:lang w:val="en-US"/>
        </w:rPr>
        <w:t xml:space="preserve">, a </w:t>
      </w:r>
      <w:r w:rsidR="00B72EF3">
        <w:rPr>
          <w:lang w:val="en-US"/>
        </w:rPr>
        <w:t xml:space="preserve">minimum </w:t>
      </w:r>
      <w:r>
        <w:rPr>
          <w:lang w:val="en-US"/>
        </w:rPr>
        <w:t xml:space="preserve">capacity increment of 50 MW was used to reflect physically adding capacity to the system. </w:t>
      </w:r>
      <w:r>
        <w:rPr>
          <w:rFonts w:cstheme="minorHAnsi"/>
          <w:lang w:val="en-US"/>
        </w:rPr>
        <w:t xml:space="preserve">The size of the additional capacity resource can be reduced if it is more reliable with a lower FOR, for example </w:t>
      </w:r>
      <w:r w:rsidR="00B72EF3">
        <w:rPr>
          <w:rFonts w:cstheme="minorHAnsi"/>
          <w:lang w:val="en-US"/>
        </w:rPr>
        <w:t xml:space="preserve">at a FOR </w:t>
      </w:r>
      <w:r w:rsidR="00120DA3">
        <w:rPr>
          <w:rFonts w:cstheme="minorHAnsi"/>
          <w:lang w:val="en-US"/>
        </w:rPr>
        <w:t xml:space="preserve">equivalent </w:t>
      </w:r>
      <w:r w:rsidR="00B72EF3">
        <w:rPr>
          <w:rFonts w:cstheme="minorHAnsi"/>
          <w:lang w:val="en-US"/>
        </w:rPr>
        <w:t xml:space="preserve">of 0.74% </w:t>
      </w:r>
      <w:r>
        <w:rPr>
          <w:rFonts w:cstheme="minorHAnsi"/>
          <w:lang w:val="en-US"/>
        </w:rPr>
        <w:t>only 75MW of generation would be needed as it</w:t>
      </w:r>
      <w:r w:rsidR="00B72EF3">
        <w:rPr>
          <w:rFonts w:cstheme="minorHAnsi"/>
          <w:lang w:val="en-US"/>
        </w:rPr>
        <w:t xml:space="preserve"> is then</w:t>
      </w:r>
      <w:r>
        <w:rPr>
          <w:rFonts w:cstheme="minorHAnsi"/>
          <w:lang w:val="en-US"/>
        </w:rPr>
        <w:t xml:space="preserve"> similar to </w:t>
      </w:r>
      <w:r w:rsidR="00B72EF3">
        <w:rPr>
          <w:rFonts w:cstheme="minorHAnsi"/>
          <w:lang w:val="en-US"/>
        </w:rPr>
        <w:t xml:space="preserve">the </w:t>
      </w:r>
      <w:r>
        <w:rPr>
          <w:rFonts w:cstheme="minorHAnsi"/>
          <w:lang w:val="en-US"/>
        </w:rPr>
        <w:t xml:space="preserve">Case </w:t>
      </w:r>
      <w:r w:rsidR="00430C2F">
        <w:rPr>
          <w:rFonts w:cstheme="minorHAnsi"/>
          <w:lang w:val="en-US"/>
        </w:rPr>
        <w:t xml:space="preserve">8 </w:t>
      </w:r>
      <w:r>
        <w:rPr>
          <w:rFonts w:cstheme="minorHAnsi"/>
          <w:lang w:val="en-US"/>
        </w:rPr>
        <w:t>example of 75 MW of market access being sufficient.</w:t>
      </w:r>
      <w:bookmarkStart w:id="93" w:name="_Ref355950240"/>
      <w:bookmarkStart w:id="94" w:name="_Toc355786983"/>
    </w:p>
    <w:p w14:paraId="49B768D1" w14:textId="0D3D8D03" w:rsidR="00EF1D77" w:rsidRPr="004D11CD" w:rsidRDefault="00EF1D77" w:rsidP="00EF1D77">
      <w:pPr>
        <w:pStyle w:val="TableHeading"/>
        <w:rPr>
          <w:rFonts w:cstheme="minorHAnsi"/>
          <w:lang w:val="en-US"/>
        </w:rPr>
      </w:pPr>
      <w:bookmarkStart w:id="95" w:name="_Toc383169316"/>
      <w:bookmarkStart w:id="96" w:name="_Toc421190639"/>
      <w:bookmarkEnd w:id="93"/>
      <w:r>
        <w:t>Table 3-</w:t>
      </w:r>
      <w:r w:rsidR="00EE4BD9">
        <w:t>11</w:t>
      </w:r>
      <w:r>
        <w:t xml:space="preserve">: </w:t>
      </w:r>
      <w:r w:rsidRPr="002F7EE4">
        <w:t xml:space="preserve"> </w:t>
      </w:r>
      <w:r>
        <w:t xml:space="preserve">Case </w:t>
      </w:r>
      <w:r w:rsidR="00430C2F">
        <w:t xml:space="preserve">9 </w:t>
      </w:r>
      <w:r>
        <w:t xml:space="preserve">- </w:t>
      </w:r>
      <w:r>
        <w:rPr>
          <w:lang w:val="en-US"/>
        </w:rPr>
        <w:t xml:space="preserve">Additional </w:t>
      </w:r>
      <w:r w:rsidR="004A036B">
        <w:rPr>
          <w:lang w:val="en-US"/>
        </w:rPr>
        <w:t xml:space="preserve">Planned </w:t>
      </w:r>
      <w:r>
        <w:rPr>
          <w:lang w:val="en-US"/>
        </w:rPr>
        <w:t>Capacity</w:t>
      </w:r>
      <w:r w:rsidRPr="00947E3E">
        <w:rPr>
          <w:lang w:val="en-US"/>
        </w:rPr>
        <w:t xml:space="preserve"> </w:t>
      </w:r>
      <w:r w:rsidR="007B3879" w:rsidRPr="00947E3E">
        <w:rPr>
          <w:lang w:val="en-US"/>
        </w:rPr>
        <w:t>(MW)</w:t>
      </w:r>
      <w:r w:rsidR="007B3879">
        <w:rPr>
          <w:lang w:val="en-US"/>
        </w:rPr>
        <w:t xml:space="preserve"> </w:t>
      </w:r>
      <w:r w:rsidRPr="00947E3E">
        <w:rPr>
          <w:lang w:val="en-US"/>
        </w:rPr>
        <w:t xml:space="preserve">to </w:t>
      </w:r>
      <w:r>
        <w:rPr>
          <w:lang w:val="en-US"/>
        </w:rPr>
        <w:t>R</w:t>
      </w:r>
      <w:r w:rsidRPr="00947E3E">
        <w:rPr>
          <w:lang w:val="en-US"/>
        </w:rPr>
        <w:t xml:space="preserve">each LOLE </w:t>
      </w:r>
      <w:r>
        <w:rPr>
          <w:lang w:val="en-US"/>
        </w:rPr>
        <w:t>T</w:t>
      </w:r>
      <w:r w:rsidRPr="00947E3E">
        <w:rPr>
          <w:lang w:val="en-US"/>
        </w:rPr>
        <w:t xml:space="preserve">arget </w:t>
      </w:r>
      <w:bookmarkEnd w:id="94"/>
      <w:bookmarkEnd w:id="95"/>
      <w:r w:rsidR="004A036B">
        <w:rPr>
          <w:lang w:val="en-US"/>
        </w:rPr>
        <w:t>with no Market</w:t>
      </w:r>
      <w:bookmarkEnd w:id="96"/>
    </w:p>
    <w:tbl>
      <w:tblPr>
        <w:tblStyle w:val="LightList-Accent11"/>
        <w:tblW w:w="9889" w:type="dxa"/>
        <w:tblLook w:val="04A0" w:firstRow="1" w:lastRow="0" w:firstColumn="1" w:lastColumn="0" w:noHBand="0" w:noVBand="1"/>
      </w:tblPr>
      <w:tblGrid>
        <w:gridCol w:w="622"/>
        <w:gridCol w:w="787"/>
        <w:gridCol w:w="574"/>
        <w:gridCol w:w="580"/>
        <w:gridCol w:w="580"/>
        <w:gridCol w:w="574"/>
        <w:gridCol w:w="596"/>
        <w:gridCol w:w="580"/>
        <w:gridCol w:w="569"/>
        <w:gridCol w:w="596"/>
        <w:gridCol w:w="585"/>
        <w:gridCol w:w="569"/>
        <w:gridCol w:w="591"/>
        <w:gridCol w:w="585"/>
        <w:gridCol w:w="696"/>
        <w:gridCol w:w="805"/>
      </w:tblGrid>
      <w:tr w:rsidR="001402B3" w:rsidRPr="00E24C3D" w14:paraId="03EFE63F" w14:textId="70754CA2" w:rsidTr="00430C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22" w:type="dxa"/>
            <w:vAlign w:val="bottom"/>
          </w:tcPr>
          <w:p w14:paraId="1C3D08E6" w14:textId="77777777" w:rsidR="00430C2F" w:rsidRPr="00E24C3D" w:rsidRDefault="00430C2F" w:rsidP="00656AF0">
            <w:pPr>
              <w:pStyle w:val="Table1"/>
            </w:pPr>
            <w:r w:rsidRPr="00E24C3D">
              <w:t>Year</w:t>
            </w:r>
          </w:p>
        </w:tc>
        <w:tc>
          <w:tcPr>
            <w:tcW w:w="787" w:type="dxa"/>
          </w:tcPr>
          <w:p w14:paraId="6C8B1367" w14:textId="77777777" w:rsidR="00430C2F" w:rsidRPr="00E24C3D"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E24C3D">
              <w:t>LOLE Before</w:t>
            </w:r>
          </w:p>
        </w:tc>
        <w:tc>
          <w:tcPr>
            <w:tcW w:w="574" w:type="dxa"/>
            <w:vAlign w:val="bottom"/>
          </w:tcPr>
          <w:p w14:paraId="2E744AEF" w14:textId="77777777" w:rsidR="00430C2F" w:rsidRPr="00E24C3D"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E24C3D">
              <w:t>Jan</w:t>
            </w:r>
          </w:p>
        </w:tc>
        <w:tc>
          <w:tcPr>
            <w:tcW w:w="580" w:type="dxa"/>
            <w:vAlign w:val="bottom"/>
          </w:tcPr>
          <w:p w14:paraId="3E6B77AF" w14:textId="77777777" w:rsidR="00430C2F" w:rsidRPr="00E24C3D"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E24C3D">
              <w:t>Feb</w:t>
            </w:r>
          </w:p>
        </w:tc>
        <w:tc>
          <w:tcPr>
            <w:tcW w:w="580" w:type="dxa"/>
            <w:vAlign w:val="bottom"/>
          </w:tcPr>
          <w:p w14:paraId="3BDB4BA4" w14:textId="77777777" w:rsidR="00430C2F" w:rsidRPr="00E24C3D"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E24C3D">
              <w:t>Mar</w:t>
            </w:r>
          </w:p>
        </w:tc>
        <w:tc>
          <w:tcPr>
            <w:tcW w:w="574" w:type="dxa"/>
            <w:vAlign w:val="bottom"/>
          </w:tcPr>
          <w:p w14:paraId="66F1AEF6" w14:textId="77777777" w:rsidR="00430C2F" w:rsidRPr="00E24C3D"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E24C3D">
              <w:t>Apr</w:t>
            </w:r>
          </w:p>
        </w:tc>
        <w:tc>
          <w:tcPr>
            <w:tcW w:w="596" w:type="dxa"/>
            <w:vAlign w:val="bottom"/>
          </w:tcPr>
          <w:p w14:paraId="60D21225" w14:textId="77777777" w:rsidR="00430C2F" w:rsidRPr="00E24C3D"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E24C3D">
              <w:t>May</w:t>
            </w:r>
          </w:p>
        </w:tc>
        <w:tc>
          <w:tcPr>
            <w:tcW w:w="580" w:type="dxa"/>
            <w:vAlign w:val="bottom"/>
          </w:tcPr>
          <w:p w14:paraId="760EFC2A" w14:textId="77777777" w:rsidR="00430C2F" w:rsidRPr="00E24C3D"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E24C3D">
              <w:t>Jun</w:t>
            </w:r>
          </w:p>
        </w:tc>
        <w:tc>
          <w:tcPr>
            <w:tcW w:w="569" w:type="dxa"/>
            <w:vAlign w:val="bottom"/>
          </w:tcPr>
          <w:p w14:paraId="37ECD896" w14:textId="77777777" w:rsidR="00430C2F" w:rsidRPr="00E24C3D"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E24C3D">
              <w:t>Jul</w:t>
            </w:r>
          </w:p>
        </w:tc>
        <w:tc>
          <w:tcPr>
            <w:tcW w:w="596" w:type="dxa"/>
            <w:vAlign w:val="bottom"/>
          </w:tcPr>
          <w:p w14:paraId="143DB9C1" w14:textId="77777777" w:rsidR="00430C2F" w:rsidRPr="00E24C3D"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E24C3D">
              <w:t>Aug</w:t>
            </w:r>
          </w:p>
        </w:tc>
        <w:tc>
          <w:tcPr>
            <w:tcW w:w="585" w:type="dxa"/>
            <w:vAlign w:val="bottom"/>
          </w:tcPr>
          <w:p w14:paraId="1F0BCAA0" w14:textId="77777777" w:rsidR="00430C2F" w:rsidRPr="00E24C3D"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E24C3D">
              <w:t>Sep</w:t>
            </w:r>
          </w:p>
        </w:tc>
        <w:tc>
          <w:tcPr>
            <w:tcW w:w="569" w:type="dxa"/>
            <w:vAlign w:val="bottom"/>
          </w:tcPr>
          <w:p w14:paraId="226927BB" w14:textId="77777777" w:rsidR="00430C2F" w:rsidRPr="00E24C3D"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E24C3D">
              <w:t>Oct</w:t>
            </w:r>
          </w:p>
        </w:tc>
        <w:tc>
          <w:tcPr>
            <w:tcW w:w="591" w:type="dxa"/>
            <w:vAlign w:val="bottom"/>
          </w:tcPr>
          <w:p w14:paraId="3725EEFA" w14:textId="77777777" w:rsidR="00430C2F" w:rsidRPr="00E24C3D"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E24C3D">
              <w:t>Nov</w:t>
            </w:r>
          </w:p>
        </w:tc>
        <w:tc>
          <w:tcPr>
            <w:tcW w:w="585" w:type="dxa"/>
            <w:vAlign w:val="bottom"/>
          </w:tcPr>
          <w:p w14:paraId="454DAF95" w14:textId="77777777" w:rsidR="00430C2F" w:rsidRPr="00E24C3D"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E24C3D">
              <w:t>Dec</w:t>
            </w:r>
          </w:p>
        </w:tc>
        <w:tc>
          <w:tcPr>
            <w:tcW w:w="696" w:type="dxa"/>
            <w:vAlign w:val="bottom"/>
          </w:tcPr>
          <w:p w14:paraId="5055BAE6" w14:textId="77777777" w:rsidR="00430C2F" w:rsidRPr="00E24C3D"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E24C3D">
              <w:t>LOLE After</w:t>
            </w:r>
          </w:p>
        </w:tc>
        <w:tc>
          <w:tcPr>
            <w:tcW w:w="805" w:type="dxa"/>
          </w:tcPr>
          <w:p w14:paraId="5F09D69D" w14:textId="4DCB48BA" w:rsidR="00430C2F" w:rsidRPr="00E24C3D" w:rsidRDefault="00430C2F" w:rsidP="00656AF0">
            <w:pPr>
              <w:pStyle w:val="Table1"/>
              <w:cnfStyle w:val="100000000000" w:firstRow="1" w:lastRow="0" w:firstColumn="0" w:lastColumn="0" w:oddVBand="0" w:evenVBand="0" w:oddHBand="0" w:evenHBand="0" w:firstRowFirstColumn="0" w:firstRowLastColumn="0" w:lastRowFirstColumn="0" w:lastRowLastColumn="0"/>
            </w:pPr>
            <w:r>
              <w:t>Winter PRM</w:t>
            </w:r>
          </w:p>
        </w:tc>
      </w:tr>
      <w:tr w:rsidR="00430C2F" w:rsidRPr="00AC750B" w14:paraId="5096B59A" w14:textId="177B374E" w:rsidTr="00B72E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2" w:type="dxa"/>
            <w:vAlign w:val="bottom"/>
          </w:tcPr>
          <w:p w14:paraId="2560A673" w14:textId="77777777" w:rsidR="00430C2F" w:rsidRPr="00AC750B" w:rsidRDefault="00430C2F" w:rsidP="00656AF0">
            <w:pPr>
              <w:pStyle w:val="Table1"/>
            </w:pPr>
            <w:r w:rsidRPr="00AC750B">
              <w:t>2014</w:t>
            </w:r>
          </w:p>
        </w:tc>
        <w:tc>
          <w:tcPr>
            <w:tcW w:w="787" w:type="dxa"/>
          </w:tcPr>
          <w:p w14:paraId="07DE6006"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0.669</w:t>
            </w:r>
          </w:p>
        </w:tc>
        <w:tc>
          <w:tcPr>
            <w:tcW w:w="574" w:type="dxa"/>
          </w:tcPr>
          <w:p w14:paraId="79167C46"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150</w:t>
            </w:r>
          </w:p>
        </w:tc>
        <w:tc>
          <w:tcPr>
            <w:tcW w:w="580" w:type="dxa"/>
          </w:tcPr>
          <w:p w14:paraId="6EAA8F2D"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150</w:t>
            </w:r>
          </w:p>
        </w:tc>
        <w:tc>
          <w:tcPr>
            <w:tcW w:w="580" w:type="dxa"/>
          </w:tcPr>
          <w:p w14:paraId="20439408"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150</w:t>
            </w:r>
          </w:p>
        </w:tc>
        <w:tc>
          <w:tcPr>
            <w:tcW w:w="574" w:type="dxa"/>
          </w:tcPr>
          <w:p w14:paraId="5B92B2EC"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50</w:t>
            </w:r>
          </w:p>
        </w:tc>
        <w:tc>
          <w:tcPr>
            <w:tcW w:w="596" w:type="dxa"/>
          </w:tcPr>
          <w:p w14:paraId="25E6F488"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50</w:t>
            </w:r>
          </w:p>
        </w:tc>
        <w:tc>
          <w:tcPr>
            <w:tcW w:w="580" w:type="dxa"/>
          </w:tcPr>
          <w:p w14:paraId="283FD55B"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100</w:t>
            </w:r>
          </w:p>
        </w:tc>
        <w:tc>
          <w:tcPr>
            <w:tcW w:w="569" w:type="dxa"/>
          </w:tcPr>
          <w:p w14:paraId="33E8D6A1"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50</w:t>
            </w:r>
          </w:p>
        </w:tc>
        <w:tc>
          <w:tcPr>
            <w:tcW w:w="596" w:type="dxa"/>
          </w:tcPr>
          <w:p w14:paraId="067EBEC6"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50</w:t>
            </w:r>
          </w:p>
        </w:tc>
        <w:tc>
          <w:tcPr>
            <w:tcW w:w="585" w:type="dxa"/>
          </w:tcPr>
          <w:p w14:paraId="47697511"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w:t>
            </w:r>
          </w:p>
        </w:tc>
        <w:tc>
          <w:tcPr>
            <w:tcW w:w="569" w:type="dxa"/>
          </w:tcPr>
          <w:p w14:paraId="33BCDD6D"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50</w:t>
            </w:r>
          </w:p>
        </w:tc>
        <w:tc>
          <w:tcPr>
            <w:tcW w:w="591" w:type="dxa"/>
          </w:tcPr>
          <w:p w14:paraId="6F8766AD"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w:t>
            </w:r>
          </w:p>
        </w:tc>
        <w:tc>
          <w:tcPr>
            <w:tcW w:w="585" w:type="dxa"/>
          </w:tcPr>
          <w:p w14:paraId="387AF103"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100</w:t>
            </w:r>
          </w:p>
        </w:tc>
        <w:tc>
          <w:tcPr>
            <w:tcW w:w="696" w:type="dxa"/>
          </w:tcPr>
          <w:p w14:paraId="5F7CC4CC"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0.050</w:t>
            </w:r>
          </w:p>
        </w:tc>
        <w:tc>
          <w:tcPr>
            <w:tcW w:w="805" w:type="dxa"/>
          </w:tcPr>
          <w:p w14:paraId="6D055EE2" w14:textId="29811628"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2B083A">
              <w:t>20%</w:t>
            </w:r>
          </w:p>
        </w:tc>
      </w:tr>
      <w:tr w:rsidR="00430C2F" w:rsidRPr="00AC750B" w14:paraId="46D3233D" w14:textId="0216031C" w:rsidTr="00B72EF3">
        <w:trPr>
          <w:trHeight w:val="283"/>
        </w:trPr>
        <w:tc>
          <w:tcPr>
            <w:cnfStyle w:val="001000000000" w:firstRow="0" w:lastRow="0" w:firstColumn="1" w:lastColumn="0" w:oddVBand="0" w:evenVBand="0" w:oddHBand="0" w:evenHBand="0" w:firstRowFirstColumn="0" w:firstRowLastColumn="0" w:lastRowFirstColumn="0" w:lastRowLastColumn="0"/>
            <w:tcW w:w="622" w:type="dxa"/>
            <w:vAlign w:val="bottom"/>
          </w:tcPr>
          <w:p w14:paraId="40C1B993" w14:textId="77777777" w:rsidR="00430C2F" w:rsidRPr="00AC750B" w:rsidRDefault="00430C2F" w:rsidP="00656AF0">
            <w:pPr>
              <w:pStyle w:val="Table1"/>
            </w:pPr>
            <w:r w:rsidRPr="00AC750B">
              <w:t>2015</w:t>
            </w:r>
          </w:p>
        </w:tc>
        <w:tc>
          <w:tcPr>
            <w:tcW w:w="787" w:type="dxa"/>
          </w:tcPr>
          <w:p w14:paraId="62F91411"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1.387</w:t>
            </w:r>
          </w:p>
        </w:tc>
        <w:tc>
          <w:tcPr>
            <w:tcW w:w="574" w:type="dxa"/>
          </w:tcPr>
          <w:p w14:paraId="0883BDF3"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150</w:t>
            </w:r>
          </w:p>
        </w:tc>
        <w:tc>
          <w:tcPr>
            <w:tcW w:w="580" w:type="dxa"/>
          </w:tcPr>
          <w:p w14:paraId="411ACAB9"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150</w:t>
            </w:r>
          </w:p>
        </w:tc>
        <w:tc>
          <w:tcPr>
            <w:tcW w:w="580" w:type="dxa"/>
          </w:tcPr>
          <w:p w14:paraId="3BE004EE"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150</w:t>
            </w:r>
          </w:p>
        </w:tc>
        <w:tc>
          <w:tcPr>
            <w:tcW w:w="574" w:type="dxa"/>
          </w:tcPr>
          <w:p w14:paraId="1C2A039E"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50</w:t>
            </w:r>
          </w:p>
        </w:tc>
        <w:tc>
          <w:tcPr>
            <w:tcW w:w="596" w:type="dxa"/>
          </w:tcPr>
          <w:p w14:paraId="12D9801F"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50</w:t>
            </w:r>
          </w:p>
        </w:tc>
        <w:tc>
          <w:tcPr>
            <w:tcW w:w="580" w:type="dxa"/>
          </w:tcPr>
          <w:p w14:paraId="3D14CFD2"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100</w:t>
            </w:r>
          </w:p>
        </w:tc>
        <w:tc>
          <w:tcPr>
            <w:tcW w:w="569" w:type="dxa"/>
          </w:tcPr>
          <w:p w14:paraId="62758BB8"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50</w:t>
            </w:r>
          </w:p>
        </w:tc>
        <w:tc>
          <w:tcPr>
            <w:tcW w:w="596" w:type="dxa"/>
          </w:tcPr>
          <w:p w14:paraId="527E0947"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w:t>
            </w:r>
          </w:p>
        </w:tc>
        <w:tc>
          <w:tcPr>
            <w:tcW w:w="585" w:type="dxa"/>
          </w:tcPr>
          <w:p w14:paraId="4836D72A"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w:t>
            </w:r>
          </w:p>
        </w:tc>
        <w:tc>
          <w:tcPr>
            <w:tcW w:w="569" w:type="dxa"/>
          </w:tcPr>
          <w:p w14:paraId="7AE92F16"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w:t>
            </w:r>
          </w:p>
        </w:tc>
        <w:tc>
          <w:tcPr>
            <w:tcW w:w="591" w:type="dxa"/>
          </w:tcPr>
          <w:p w14:paraId="5EC04E1C"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w:t>
            </w:r>
          </w:p>
        </w:tc>
        <w:tc>
          <w:tcPr>
            <w:tcW w:w="585" w:type="dxa"/>
          </w:tcPr>
          <w:p w14:paraId="12817066"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100</w:t>
            </w:r>
          </w:p>
        </w:tc>
        <w:tc>
          <w:tcPr>
            <w:tcW w:w="696" w:type="dxa"/>
          </w:tcPr>
          <w:p w14:paraId="0AC1C5EF"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0.091</w:t>
            </w:r>
          </w:p>
        </w:tc>
        <w:tc>
          <w:tcPr>
            <w:tcW w:w="805" w:type="dxa"/>
          </w:tcPr>
          <w:p w14:paraId="2181F827" w14:textId="583BC6EF"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2B083A">
              <w:t>20%</w:t>
            </w:r>
          </w:p>
        </w:tc>
      </w:tr>
      <w:tr w:rsidR="00430C2F" w:rsidRPr="00AC750B" w14:paraId="53B112B7" w14:textId="1219C5BE" w:rsidTr="00B72E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2" w:type="dxa"/>
            <w:vAlign w:val="bottom"/>
          </w:tcPr>
          <w:p w14:paraId="2CFBA497" w14:textId="77777777" w:rsidR="00430C2F" w:rsidRPr="00AC750B" w:rsidRDefault="00430C2F" w:rsidP="00656AF0">
            <w:pPr>
              <w:pStyle w:val="Table1"/>
            </w:pPr>
            <w:r w:rsidRPr="00AC750B">
              <w:t>2016</w:t>
            </w:r>
          </w:p>
        </w:tc>
        <w:tc>
          <w:tcPr>
            <w:tcW w:w="787" w:type="dxa"/>
          </w:tcPr>
          <w:p w14:paraId="4CE60EFE"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0.463</w:t>
            </w:r>
          </w:p>
        </w:tc>
        <w:tc>
          <w:tcPr>
            <w:tcW w:w="574" w:type="dxa"/>
          </w:tcPr>
          <w:p w14:paraId="30DA13D2"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100</w:t>
            </w:r>
          </w:p>
        </w:tc>
        <w:tc>
          <w:tcPr>
            <w:tcW w:w="580" w:type="dxa"/>
          </w:tcPr>
          <w:p w14:paraId="39372832"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100</w:t>
            </w:r>
          </w:p>
        </w:tc>
        <w:tc>
          <w:tcPr>
            <w:tcW w:w="580" w:type="dxa"/>
          </w:tcPr>
          <w:p w14:paraId="140DD5E4"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50</w:t>
            </w:r>
          </w:p>
        </w:tc>
        <w:tc>
          <w:tcPr>
            <w:tcW w:w="574" w:type="dxa"/>
          </w:tcPr>
          <w:p w14:paraId="71D3497E"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50</w:t>
            </w:r>
          </w:p>
        </w:tc>
        <w:tc>
          <w:tcPr>
            <w:tcW w:w="596" w:type="dxa"/>
          </w:tcPr>
          <w:p w14:paraId="51B7536B"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50</w:t>
            </w:r>
          </w:p>
        </w:tc>
        <w:tc>
          <w:tcPr>
            <w:tcW w:w="580" w:type="dxa"/>
          </w:tcPr>
          <w:p w14:paraId="01081866"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100</w:t>
            </w:r>
          </w:p>
        </w:tc>
        <w:tc>
          <w:tcPr>
            <w:tcW w:w="569" w:type="dxa"/>
          </w:tcPr>
          <w:p w14:paraId="2E9CC371"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50</w:t>
            </w:r>
          </w:p>
        </w:tc>
        <w:tc>
          <w:tcPr>
            <w:tcW w:w="596" w:type="dxa"/>
          </w:tcPr>
          <w:p w14:paraId="4F029D58"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w:t>
            </w:r>
          </w:p>
        </w:tc>
        <w:tc>
          <w:tcPr>
            <w:tcW w:w="585" w:type="dxa"/>
          </w:tcPr>
          <w:p w14:paraId="325B0F66"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w:t>
            </w:r>
          </w:p>
        </w:tc>
        <w:tc>
          <w:tcPr>
            <w:tcW w:w="569" w:type="dxa"/>
          </w:tcPr>
          <w:p w14:paraId="6A6A96B7"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w:t>
            </w:r>
          </w:p>
        </w:tc>
        <w:tc>
          <w:tcPr>
            <w:tcW w:w="591" w:type="dxa"/>
          </w:tcPr>
          <w:p w14:paraId="1624E272"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w:t>
            </w:r>
          </w:p>
        </w:tc>
        <w:tc>
          <w:tcPr>
            <w:tcW w:w="585" w:type="dxa"/>
          </w:tcPr>
          <w:p w14:paraId="200FDB79"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100</w:t>
            </w:r>
          </w:p>
        </w:tc>
        <w:tc>
          <w:tcPr>
            <w:tcW w:w="696" w:type="dxa"/>
          </w:tcPr>
          <w:p w14:paraId="1B63834E"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0.025</w:t>
            </w:r>
          </w:p>
        </w:tc>
        <w:tc>
          <w:tcPr>
            <w:tcW w:w="805" w:type="dxa"/>
          </w:tcPr>
          <w:p w14:paraId="01C3BEC7" w14:textId="084BA6D4"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2B083A">
              <w:t>20%</w:t>
            </w:r>
          </w:p>
        </w:tc>
      </w:tr>
      <w:tr w:rsidR="00430C2F" w:rsidRPr="00AC750B" w14:paraId="03489F4A" w14:textId="4D7A86F9" w:rsidTr="00B72EF3">
        <w:trPr>
          <w:trHeight w:val="283"/>
        </w:trPr>
        <w:tc>
          <w:tcPr>
            <w:cnfStyle w:val="001000000000" w:firstRow="0" w:lastRow="0" w:firstColumn="1" w:lastColumn="0" w:oddVBand="0" w:evenVBand="0" w:oddHBand="0" w:evenHBand="0" w:firstRowFirstColumn="0" w:firstRowLastColumn="0" w:lastRowFirstColumn="0" w:lastRowLastColumn="0"/>
            <w:tcW w:w="622" w:type="dxa"/>
            <w:vAlign w:val="bottom"/>
          </w:tcPr>
          <w:p w14:paraId="4B27C5FB" w14:textId="77777777" w:rsidR="00430C2F" w:rsidRPr="00AC750B" w:rsidRDefault="00430C2F" w:rsidP="00656AF0">
            <w:pPr>
              <w:pStyle w:val="Table1"/>
            </w:pPr>
            <w:r w:rsidRPr="00AC750B">
              <w:t>2017</w:t>
            </w:r>
          </w:p>
        </w:tc>
        <w:tc>
          <w:tcPr>
            <w:tcW w:w="787" w:type="dxa"/>
          </w:tcPr>
          <w:p w14:paraId="4FE2FD4F"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0.441</w:t>
            </w:r>
          </w:p>
        </w:tc>
        <w:tc>
          <w:tcPr>
            <w:tcW w:w="574" w:type="dxa"/>
          </w:tcPr>
          <w:p w14:paraId="521C9258"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100</w:t>
            </w:r>
          </w:p>
        </w:tc>
        <w:tc>
          <w:tcPr>
            <w:tcW w:w="580" w:type="dxa"/>
          </w:tcPr>
          <w:p w14:paraId="2D272139"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100</w:t>
            </w:r>
          </w:p>
        </w:tc>
        <w:tc>
          <w:tcPr>
            <w:tcW w:w="580" w:type="dxa"/>
          </w:tcPr>
          <w:p w14:paraId="513246B9"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50</w:t>
            </w:r>
          </w:p>
        </w:tc>
        <w:tc>
          <w:tcPr>
            <w:tcW w:w="574" w:type="dxa"/>
          </w:tcPr>
          <w:p w14:paraId="10CFF7D5"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50</w:t>
            </w:r>
          </w:p>
        </w:tc>
        <w:tc>
          <w:tcPr>
            <w:tcW w:w="596" w:type="dxa"/>
          </w:tcPr>
          <w:p w14:paraId="15636AF1"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50</w:t>
            </w:r>
          </w:p>
        </w:tc>
        <w:tc>
          <w:tcPr>
            <w:tcW w:w="580" w:type="dxa"/>
          </w:tcPr>
          <w:p w14:paraId="220A5ABF"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100</w:t>
            </w:r>
          </w:p>
        </w:tc>
        <w:tc>
          <w:tcPr>
            <w:tcW w:w="569" w:type="dxa"/>
          </w:tcPr>
          <w:p w14:paraId="024817E6"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50</w:t>
            </w:r>
          </w:p>
        </w:tc>
        <w:tc>
          <w:tcPr>
            <w:tcW w:w="596" w:type="dxa"/>
          </w:tcPr>
          <w:p w14:paraId="22C9831C"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w:t>
            </w:r>
          </w:p>
        </w:tc>
        <w:tc>
          <w:tcPr>
            <w:tcW w:w="585" w:type="dxa"/>
          </w:tcPr>
          <w:p w14:paraId="27B797A0"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w:t>
            </w:r>
          </w:p>
        </w:tc>
        <w:tc>
          <w:tcPr>
            <w:tcW w:w="569" w:type="dxa"/>
          </w:tcPr>
          <w:p w14:paraId="4940A66C"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w:t>
            </w:r>
          </w:p>
        </w:tc>
        <w:tc>
          <w:tcPr>
            <w:tcW w:w="591" w:type="dxa"/>
          </w:tcPr>
          <w:p w14:paraId="503D5A25"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w:t>
            </w:r>
          </w:p>
        </w:tc>
        <w:tc>
          <w:tcPr>
            <w:tcW w:w="585" w:type="dxa"/>
          </w:tcPr>
          <w:p w14:paraId="5CB82045"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100</w:t>
            </w:r>
          </w:p>
        </w:tc>
        <w:tc>
          <w:tcPr>
            <w:tcW w:w="696" w:type="dxa"/>
          </w:tcPr>
          <w:p w14:paraId="1EBAE750"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0.028</w:t>
            </w:r>
          </w:p>
        </w:tc>
        <w:tc>
          <w:tcPr>
            <w:tcW w:w="805" w:type="dxa"/>
          </w:tcPr>
          <w:p w14:paraId="7098DE84" w14:textId="594BCAFC"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2B083A">
              <w:t>19%</w:t>
            </w:r>
          </w:p>
        </w:tc>
      </w:tr>
      <w:tr w:rsidR="00430C2F" w:rsidRPr="00AC750B" w14:paraId="2F005060" w14:textId="339D598D" w:rsidTr="00B72E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2" w:type="dxa"/>
            <w:vAlign w:val="bottom"/>
          </w:tcPr>
          <w:p w14:paraId="14138857" w14:textId="77777777" w:rsidR="00430C2F" w:rsidRPr="00AC750B" w:rsidRDefault="00430C2F" w:rsidP="00656AF0">
            <w:pPr>
              <w:pStyle w:val="Table1"/>
            </w:pPr>
            <w:r w:rsidRPr="00AC750B">
              <w:t>2018</w:t>
            </w:r>
          </w:p>
        </w:tc>
        <w:tc>
          <w:tcPr>
            <w:tcW w:w="787" w:type="dxa"/>
          </w:tcPr>
          <w:p w14:paraId="4C623CC3"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0.973</w:t>
            </w:r>
          </w:p>
        </w:tc>
        <w:tc>
          <w:tcPr>
            <w:tcW w:w="574" w:type="dxa"/>
          </w:tcPr>
          <w:p w14:paraId="6FC1D66F"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100</w:t>
            </w:r>
          </w:p>
        </w:tc>
        <w:tc>
          <w:tcPr>
            <w:tcW w:w="580" w:type="dxa"/>
          </w:tcPr>
          <w:p w14:paraId="7A4C591B"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100</w:t>
            </w:r>
          </w:p>
        </w:tc>
        <w:tc>
          <w:tcPr>
            <w:tcW w:w="580" w:type="dxa"/>
          </w:tcPr>
          <w:p w14:paraId="5E035984"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50</w:t>
            </w:r>
          </w:p>
        </w:tc>
        <w:tc>
          <w:tcPr>
            <w:tcW w:w="574" w:type="dxa"/>
          </w:tcPr>
          <w:p w14:paraId="418E0EC5"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50</w:t>
            </w:r>
          </w:p>
        </w:tc>
        <w:tc>
          <w:tcPr>
            <w:tcW w:w="596" w:type="dxa"/>
          </w:tcPr>
          <w:p w14:paraId="01D9720A"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50</w:t>
            </w:r>
          </w:p>
        </w:tc>
        <w:tc>
          <w:tcPr>
            <w:tcW w:w="580" w:type="dxa"/>
          </w:tcPr>
          <w:p w14:paraId="0DF88E47"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100</w:t>
            </w:r>
          </w:p>
        </w:tc>
        <w:tc>
          <w:tcPr>
            <w:tcW w:w="569" w:type="dxa"/>
          </w:tcPr>
          <w:p w14:paraId="1376E675"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50</w:t>
            </w:r>
          </w:p>
        </w:tc>
        <w:tc>
          <w:tcPr>
            <w:tcW w:w="596" w:type="dxa"/>
          </w:tcPr>
          <w:p w14:paraId="5373C482"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w:t>
            </w:r>
          </w:p>
        </w:tc>
        <w:tc>
          <w:tcPr>
            <w:tcW w:w="585" w:type="dxa"/>
          </w:tcPr>
          <w:p w14:paraId="1B469D4C"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w:t>
            </w:r>
          </w:p>
        </w:tc>
        <w:tc>
          <w:tcPr>
            <w:tcW w:w="569" w:type="dxa"/>
          </w:tcPr>
          <w:p w14:paraId="7F0D3FED"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w:t>
            </w:r>
          </w:p>
        </w:tc>
        <w:tc>
          <w:tcPr>
            <w:tcW w:w="591" w:type="dxa"/>
          </w:tcPr>
          <w:p w14:paraId="3A5A66B4"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w:t>
            </w:r>
          </w:p>
        </w:tc>
        <w:tc>
          <w:tcPr>
            <w:tcW w:w="585" w:type="dxa"/>
          </w:tcPr>
          <w:p w14:paraId="3922C7C1"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100</w:t>
            </w:r>
          </w:p>
        </w:tc>
        <w:tc>
          <w:tcPr>
            <w:tcW w:w="696" w:type="dxa"/>
          </w:tcPr>
          <w:p w14:paraId="06561214"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0.071</w:t>
            </w:r>
          </w:p>
        </w:tc>
        <w:tc>
          <w:tcPr>
            <w:tcW w:w="805" w:type="dxa"/>
          </w:tcPr>
          <w:p w14:paraId="368149C5" w14:textId="4BB719AF"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2B083A">
              <w:t>19%</w:t>
            </w:r>
          </w:p>
        </w:tc>
      </w:tr>
      <w:tr w:rsidR="00430C2F" w:rsidRPr="00AC750B" w14:paraId="78E85B4E" w14:textId="18F7D25A" w:rsidTr="00B72EF3">
        <w:trPr>
          <w:trHeight w:val="283"/>
        </w:trPr>
        <w:tc>
          <w:tcPr>
            <w:cnfStyle w:val="001000000000" w:firstRow="0" w:lastRow="0" w:firstColumn="1" w:lastColumn="0" w:oddVBand="0" w:evenVBand="0" w:oddHBand="0" w:evenHBand="0" w:firstRowFirstColumn="0" w:firstRowLastColumn="0" w:lastRowFirstColumn="0" w:lastRowLastColumn="0"/>
            <w:tcW w:w="622" w:type="dxa"/>
            <w:vAlign w:val="bottom"/>
          </w:tcPr>
          <w:p w14:paraId="3A1834D0" w14:textId="77777777" w:rsidR="00430C2F" w:rsidRPr="00AC750B" w:rsidRDefault="00430C2F" w:rsidP="00656AF0">
            <w:pPr>
              <w:pStyle w:val="Table1"/>
            </w:pPr>
            <w:r w:rsidRPr="00AC750B">
              <w:t>2019</w:t>
            </w:r>
          </w:p>
        </w:tc>
        <w:tc>
          <w:tcPr>
            <w:tcW w:w="787" w:type="dxa"/>
          </w:tcPr>
          <w:p w14:paraId="4DAEE368"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0.995</w:t>
            </w:r>
          </w:p>
        </w:tc>
        <w:tc>
          <w:tcPr>
            <w:tcW w:w="574" w:type="dxa"/>
          </w:tcPr>
          <w:p w14:paraId="4956F070"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100</w:t>
            </w:r>
          </w:p>
        </w:tc>
        <w:tc>
          <w:tcPr>
            <w:tcW w:w="580" w:type="dxa"/>
          </w:tcPr>
          <w:p w14:paraId="2752C27E"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100</w:t>
            </w:r>
          </w:p>
        </w:tc>
        <w:tc>
          <w:tcPr>
            <w:tcW w:w="580" w:type="dxa"/>
          </w:tcPr>
          <w:p w14:paraId="2CFC3264"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50</w:t>
            </w:r>
          </w:p>
        </w:tc>
        <w:tc>
          <w:tcPr>
            <w:tcW w:w="574" w:type="dxa"/>
          </w:tcPr>
          <w:p w14:paraId="6225FF44"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50</w:t>
            </w:r>
          </w:p>
        </w:tc>
        <w:tc>
          <w:tcPr>
            <w:tcW w:w="596" w:type="dxa"/>
          </w:tcPr>
          <w:p w14:paraId="66BEC4D8"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50</w:t>
            </w:r>
          </w:p>
        </w:tc>
        <w:tc>
          <w:tcPr>
            <w:tcW w:w="580" w:type="dxa"/>
          </w:tcPr>
          <w:p w14:paraId="3F9276F3"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100</w:t>
            </w:r>
          </w:p>
        </w:tc>
        <w:tc>
          <w:tcPr>
            <w:tcW w:w="569" w:type="dxa"/>
          </w:tcPr>
          <w:p w14:paraId="70EA1201"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50</w:t>
            </w:r>
          </w:p>
        </w:tc>
        <w:tc>
          <w:tcPr>
            <w:tcW w:w="596" w:type="dxa"/>
          </w:tcPr>
          <w:p w14:paraId="5EC1A660"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w:t>
            </w:r>
          </w:p>
        </w:tc>
        <w:tc>
          <w:tcPr>
            <w:tcW w:w="585" w:type="dxa"/>
          </w:tcPr>
          <w:p w14:paraId="46188E03"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w:t>
            </w:r>
          </w:p>
        </w:tc>
        <w:tc>
          <w:tcPr>
            <w:tcW w:w="569" w:type="dxa"/>
          </w:tcPr>
          <w:p w14:paraId="370CDA76"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w:t>
            </w:r>
          </w:p>
        </w:tc>
        <w:tc>
          <w:tcPr>
            <w:tcW w:w="591" w:type="dxa"/>
          </w:tcPr>
          <w:p w14:paraId="0325C4C0"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w:t>
            </w:r>
          </w:p>
        </w:tc>
        <w:tc>
          <w:tcPr>
            <w:tcW w:w="585" w:type="dxa"/>
          </w:tcPr>
          <w:p w14:paraId="5AF9B218"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100</w:t>
            </w:r>
          </w:p>
        </w:tc>
        <w:tc>
          <w:tcPr>
            <w:tcW w:w="696" w:type="dxa"/>
          </w:tcPr>
          <w:p w14:paraId="38323357"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0.096</w:t>
            </w:r>
          </w:p>
        </w:tc>
        <w:tc>
          <w:tcPr>
            <w:tcW w:w="805" w:type="dxa"/>
          </w:tcPr>
          <w:p w14:paraId="764D7A9E" w14:textId="4A613D3E"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2B083A">
              <w:t>19%</w:t>
            </w:r>
          </w:p>
        </w:tc>
      </w:tr>
      <w:tr w:rsidR="00430C2F" w:rsidRPr="00AC750B" w14:paraId="12A3E45A" w14:textId="1565FAE2" w:rsidTr="00B72E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2" w:type="dxa"/>
            <w:vAlign w:val="bottom"/>
          </w:tcPr>
          <w:p w14:paraId="0503C337" w14:textId="77777777" w:rsidR="00430C2F" w:rsidRPr="00AC750B" w:rsidRDefault="00430C2F" w:rsidP="00656AF0">
            <w:pPr>
              <w:pStyle w:val="Table1"/>
            </w:pPr>
            <w:r w:rsidRPr="00AC750B">
              <w:t>2020</w:t>
            </w:r>
          </w:p>
        </w:tc>
        <w:tc>
          <w:tcPr>
            <w:tcW w:w="787" w:type="dxa"/>
          </w:tcPr>
          <w:p w14:paraId="7C64BC77"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1.027</w:t>
            </w:r>
          </w:p>
        </w:tc>
        <w:tc>
          <w:tcPr>
            <w:tcW w:w="574" w:type="dxa"/>
          </w:tcPr>
          <w:p w14:paraId="3F9F16DE"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100</w:t>
            </w:r>
          </w:p>
        </w:tc>
        <w:tc>
          <w:tcPr>
            <w:tcW w:w="580" w:type="dxa"/>
          </w:tcPr>
          <w:p w14:paraId="553D2361"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100</w:t>
            </w:r>
          </w:p>
        </w:tc>
        <w:tc>
          <w:tcPr>
            <w:tcW w:w="580" w:type="dxa"/>
          </w:tcPr>
          <w:p w14:paraId="25832D30"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50</w:t>
            </w:r>
          </w:p>
        </w:tc>
        <w:tc>
          <w:tcPr>
            <w:tcW w:w="574" w:type="dxa"/>
          </w:tcPr>
          <w:p w14:paraId="346941F6"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50</w:t>
            </w:r>
          </w:p>
        </w:tc>
        <w:tc>
          <w:tcPr>
            <w:tcW w:w="596" w:type="dxa"/>
          </w:tcPr>
          <w:p w14:paraId="451444B2"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50</w:t>
            </w:r>
          </w:p>
        </w:tc>
        <w:tc>
          <w:tcPr>
            <w:tcW w:w="580" w:type="dxa"/>
          </w:tcPr>
          <w:p w14:paraId="359C41B2"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100</w:t>
            </w:r>
          </w:p>
        </w:tc>
        <w:tc>
          <w:tcPr>
            <w:tcW w:w="569" w:type="dxa"/>
          </w:tcPr>
          <w:p w14:paraId="46912C1F"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50</w:t>
            </w:r>
          </w:p>
        </w:tc>
        <w:tc>
          <w:tcPr>
            <w:tcW w:w="596" w:type="dxa"/>
          </w:tcPr>
          <w:p w14:paraId="4A566EAA"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w:t>
            </w:r>
          </w:p>
        </w:tc>
        <w:tc>
          <w:tcPr>
            <w:tcW w:w="585" w:type="dxa"/>
          </w:tcPr>
          <w:p w14:paraId="70E03B95"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w:t>
            </w:r>
          </w:p>
        </w:tc>
        <w:tc>
          <w:tcPr>
            <w:tcW w:w="569" w:type="dxa"/>
          </w:tcPr>
          <w:p w14:paraId="655ABC70"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w:t>
            </w:r>
          </w:p>
        </w:tc>
        <w:tc>
          <w:tcPr>
            <w:tcW w:w="591" w:type="dxa"/>
          </w:tcPr>
          <w:p w14:paraId="64FBF186"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w:t>
            </w:r>
          </w:p>
        </w:tc>
        <w:tc>
          <w:tcPr>
            <w:tcW w:w="585" w:type="dxa"/>
          </w:tcPr>
          <w:p w14:paraId="306D7D8B"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100</w:t>
            </w:r>
          </w:p>
        </w:tc>
        <w:tc>
          <w:tcPr>
            <w:tcW w:w="696" w:type="dxa"/>
          </w:tcPr>
          <w:p w14:paraId="73760B7E"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0.092</w:t>
            </w:r>
          </w:p>
        </w:tc>
        <w:tc>
          <w:tcPr>
            <w:tcW w:w="805" w:type="dxa"/>
          </w:tcPr>
          <w:p w14:paraId="045670C5" w14:textId="0F77583B"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2B083A">
              <w:t>19%</w:t>
            </w:r>
          </w:p>
        </w:tc>
      </w:tr>
      <w:tr w:rsidR="00430C2F" w:rsidRPr="00AC750B" w14:paraId="3943B3F3" w14:textId="0330DFAE" w:rsidTr="00B72EF3">
        <w:trPr>
          <w:trHeight w:val="283"/>
        </w:trPr>
        <w:tc>
          <w:tcPr>
            <w:cnfStyle w:val="001000000000" w:firstRow="0" w:lastRow="0" w:firstColumn="1" w:lastColumn="0" w:oddVBand="0" w:evenVBand="0" w:oddHBand="0" w:evenHBand="0" w:firstRowFirstColumn="0" w:firstRowLastColumn="0" w:lastRowFirstColumn="0" w:lastRowLastColumn="0"/>
            <w:tcW w:w="622" w:type="dxa"/>
            <w:vAlign w:val="bottom"/>
          </w:tcPr>
          <w:p w14:paraId="347C02AC" w14:textId="77777777" w:rsidR="00430C2F" w:rsidRPr="00AC750B" w:rsidRDefault="00430C2F" w:rsidP="00656AF0">
            <w:pPr>
              <w:pStyle w:val="Table1"/>
            </w:pPr>
            <w:r w:rsidRPr="00AC750B">
              <w:t>2025</w:t>
            </w:r>
          </w:p>
        </w:tc>
        <w:tc>
          <w:tcPr>
            <w:tcW w:w="787" w:type="dxa"/>
          </w:tcPr>
          <w:p w14:paraId="147F603F"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1.443</w:t>
            </w:r>
          </w:p>
        </w:tc>
        <w:tc>
          <w:tcPr>
            <w:tcW w:w="574" w:type="dxa"/>
          </w:tcPr>
          <w:p w14:paraId="759C099B"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100</w:t>
            </w:r>
          </w:p>
        </w:tc>
        <w:tc>
          <w:tcPr>
            <w:tcW w:w="580" w:type="dxa"/>
          </w:tcPr>
          <w:p w14:paraId="7E296C67"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100</w:t>
            </w:r>
          </w:p>
        </w:tc>
        <w:tc>
          <w:tcPr>
            <w:tcW w:w="580" w:type="dxa"/>
          </w:tcPr>
          <w:p w14:paraId="1630973E"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50</w:t>
            </w:r>
          </w:p>
        </w:tc>
        <w:tc>
          <w:tcPr>
            <w:tcW w:w="574" w:type="dxa"/>
          </w:tcPr>
          <w:p w14:paraId="6126E7AF"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50</w:t>
            </w:r>
          </w:p>
        </w:tc>
        <w:tc>
          <w:tcPr>
            <w:tcW w:w="596" w:type="dxa"/>
          </w:tcPr>
          <w:p w14:paraId="2C930D53"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50</w:t>
            </w:r>
          </w:p>
        </w:tc>
        <w:tc>
          <w:tcPr>
            <w:tcW w:w="580" w:type="dxa"/>
          </w:tcPr>
          <w:p w14:paraId="20730072"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100</w:t>
            </w:r>
          </w:p>
        </w:tc>
        <w:tc>
          <w:tcPr>
            <w:tcW w:w="569" w:type="dxa"/>
          </w:tcPr>
          <w:p w14:paraId="76E4E057"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100</w:t>
            </w:r>
          </w:p>
        </w:tc>
        <w:tc>
          <w:tcPr>
            <w:tcW w:w="596" w:type="dxa"/>
          </w:tcPr>
          <w:p w14:paraId="457F5C05"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w:t>
            </w:r>
          </w:p>
        </w:tc>
        <w:tc>
          <w:tcPr>
            <w:tcW w:w="585" w:type="dxa"/>
          </w:tcPr>
          <w:p w14:paraId="41FA13BE"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w:t>
            </w:r>
          </w:p>
        </w:tc>
        <w:tc>
          <w:tcPr>
            <w:tcW w:w="569" w:type="dxa"/>
          </w:tcPr>
          <w:p w14:paraId="31D43764"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w:t>
            </w:r>
          </w:p>
        </w:tc>
        <w:tc>
          <w:tcPr>
            <w:tcW w:w="591" w:type="dxa"/>
          </w:tcPr>
          <w:p w14:paraId="355DC93A"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w:t>
            </w:r>
          </w:p>
        </w:tc>
        <w:tc>
          <w:tcPr>
            <w:tcW w:w="585" w:type="dxa"/>
          </w:tcPr>
          <w:p w14:paraId="69FD7E00"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150</w:t>
            </w:r>
          </w:p>
        </w:tc>
        <w:tc>
          <w:tcPr>
            <w:tcW w:w="696" w:type="dxa"/>
          </w:tcPr>
          <w:p w14:paraId="3CD7AE3A"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0.086</w:t>
            </w:r>
          </w:p>
        </w:tc>
        <w:tc>
          <w:tcPr>
            <w:tcW w:w="805" w:type="dxa"/>
          </w:tcPr>
          <w:p w14:paraId="0501CCD6" w14:textId="708087B4"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2B083A">
              <w:t>24%</w:t>
            </w:r>
          </w:p>
        </w:tc>
      </w:tr>
      <w:tr w:rsidR="00430C2F" w:rsidRPr="00AC750B" w14:paraId="43FB8C48" w14:textId="311BF12E" w:rsidTr="00B72EF3">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622" w:type="dxa"/>
            <w:vAlign w:val="bottom"/>
          </w:tcPr>
          <w:p w14:paraId="755B32B0" w14:textId="77777777" w:rsidR="00430C2F" w:rsidRPr="00AC750B" w:rsidRDefault="00430C2F" w:rsidP="00656AF0">
            <w:pPr>
              <w:pStyle w:val="Table1"/>
            </w:pPr>
            <w:r w:rsidRPr="00AC750B">
              <w:t>2030</w:t>
            </w:r>
          </w:p>
        </w:tc>
        <w:tc>
          <w:tcPr>
            <w:tcW w:w="787" w:type="dxa"/>
          </w:tcPr>
          <w:p w14:paraId="46B479BB"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1.527</w:t>
            </w:r>
          </w:p>
        </w:tc>
        <w:tc>
          <w:tcPr>
            <w:tcW w:w="574" w:type="dxa"/>
          </w:tcPr>
          <w:p w14:paraId="14AED513"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100</w:t>
            </w:r>
          </w:p>
        </w:tc>
        <w:tc>
          <w:tcPr>
            <w:tcW w:w="580" w:type="dxa"/>
          </w:tcPr>
          <w:p w14:paraId="12310116"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100</w:t>
            </w:r>
          </w:p>
        </w:tc>
        <w:tc>
          <w:tcPr>
            <w:tcW w:w="580" w:type="dxa"/>
          </w:tcPr>
          <w:p w14:paraId="7D0371E5"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50</w:t>
            </w:r>
          </w:p>
        </w:tc>
        <w:tc>
          <w:tcPr>
            <w:tcW w:w="574" w:type="dxa"/>
          </w:tcPr>
          <w:p w14:paraId="08355448"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50</w:t>
            </w:r>
          </w:p>
        </w:tc>
        <w:tc>
          <w:tcPr>
            <w:tcW w:w="596" w:type="dxa"/>
          </w:tcPr>
          <w:p w14:paraId="00EF0BD4"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50</w:t>
            </w:r>
          </w:p>
        </w:tc>
        <w:tc>
          <w:tcPr>
            <w:tcW w:w="580" w:type="dxa"/>
          </w:tcPr>
          <w:p w14:paraId="6DA563EF"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100</w:t>
            </w:r>
          </w:p>
        </w:tc>
        <w:tc>
          <w:tcPr>
            <w:tcW w:w="569" w:type="dxa"/>
          </w:tcPr>
          <w:p w14:paraId="7CF7B032"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100</w:t>
            </w:r>
          </w:p>
        </w:tc>
        <w:tc>
          <w:tcPr>
            <w:tcW w:w="596" w:type="dxa"/>
          </w:tcPr>
          <w:p w14:paraId="452F7AF4"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w:t>
            </w:r>
          </w:p>
        </w:tc>
        <w:tc>
          <w:tcPr>
            <w:tcW w:w="585" w:type="dxa"/>
          </w:tcPr>
          <w:p w14:paraId="498CC82B"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w:t>
            </w:r>
          </w:p>
        </w:tc>
        <w:tc>
          <w:tcPr>
            <w:tcW w:w="569" w:type="dxa"/>
          </w:tcPr>
          <w:p w14:paraId="38E7F82E"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w:t>
            </w:r>
          </w:p>
        </w:tc>
        <w:tc>
          <w:tcPr>
            <w:tcW w:w="591" w:type="dxa"/>
          </w:tcPr>
          <w:p w14:paraId="3628DF64"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w:t>
            </w:r>
          </w:p>
        </w:tc>
        <w:tc>
          <w:tcPr>
            <w:tcW w:w="585" w:type="dxa"/>
          </w:tcPr>
          <w:p w14:paraId="590EE1A2"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150</w:t>
            </w:r>
          </w:p>
        </w:tc>
        <w:tc>
          <w:tcPr>
            <w:tcW w:w="696" w:type="dxa"/>
          </w:tcPr>
          <w:p w14:paraId="2AF2E9AE" w14:textId="77777777"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AC750B">
              <w:t>0.083</w:t>
            </w:r>
          </w:p>
        </w:tc>
        <w:tc>
          <w:tcPr>
            <w:tcW w:w="805" w:type="dxa"/>
          </w:tcPr>
          <w:p w14:paraId="18004E77" w14:textId="0DE2EE0B" w:rsidR="00430C2F" w:rsidRPr="00AC750B" w:rsidRDefault="00430C2F" w:rsidP="00656AF0">
            <w:pPr>
              <w:pStyle w:val="Table1"/>
              <w:cnfStyle w:val="000000100000" w:firstRow="0" w:lastRow="0" w:firstColumn="0" w:lastColumn="0" w:oddVBand="0" w:evenVBand="0" w:oddHBand="1" w:evenHBand="0" w:firstRowFirstColumn="0" w:firstRowLastColumn="0" w:lastRowFirstColumn="0" w:lastRowLastColumn="0"/>
            </w:pPr>
            <w:r w:rsidRPr="002B083A">
              <w:t>23%</w:t>
            </w:r>
          </w:p>
        </w:tc>
      </w:tr>
      <w:tr w:rsidR="00430C2F" w:rsidRPr="00AC750B" w14:paraId="16485D80" w14:textId="5ECEF0E0" w:rsidTr="00B72EF3">
        <w:trPr>
          <w:trHeight w:val="283"/>
        </w:trPr>
        <w:tc>
          <w:tcPr>
            <w:cnfStyle w:val="001000000000" w:firstRow="0" w:lastRow="0" w:firstColumn="1" w:lastColumn="0" w:oddVBand="0" w:evenVBand="0" w:oddHBand="0" w:evenHBand="0" w:firstRowFirstColumn="0" w:firstRowLastColumn="0" w:lastRowFirstColumn="0" w:lastRowLastColumn="0"/>
            <w:tcW w:w="622" w:type="dxa"/>
            <w:vAlign w:val="bottom"/>
          </w:tcPr>
          <w:p w14:paraId="2441785B" w14:textId="77777777" w:rsidR="00430C2F" w:rsidRPr="00AC750B" w:rsidRDefault="00430C2F" w:rsidP="00656AF0">
            <w:pPr>
              <w:pStyle w:val="Table1"/>
            </w:pPr>
            <w:r w:rsidRPr="00AC750B">
              <w:t>2033</w:t>
            </w:r>
          </w:p>
        </w:tc>
        <w:tc>
          <w:tcPr>
            <w:tcW w:w="787" w:type="dxa"/>
          </w:tcPr>
          <w:p w14:paraId="7EB2F87F"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2.062</w:t>
            </w:r>
          </w:p>
        </w:tc>
        <w:tc>
          <w:tcPr>
            <w:tcW w:w="574" w:type="dxa"/>
          </w:tcPr>
          <w:p w14:paraId="32F41E3E"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100</w:t>
            </w:r>
          </w:p>
        </w:tc>
        <w:tc>
          <w:tcPr>
            <w:tcW w:w="580" w:type="dxa"/>
          </w:tcPr>
          <w:p w14:paraId="5A38FEF9"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100</w:t>
            </w:r>
          </w:p>
        </w:tc>
        <w:tc>
          <w:tcPr>
            <w:tcW w:w="580" w:type="dxa"/>
          </w:tcPr>
          <w:p w14:paraId="579A771D"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50</w:t>
            </w:r>
          </w:p>
        </w:tc>
        <w:tc>
          <w:tcPr>
            <w:tcW w:w="574" w:type="dxa"/>
          </w:tcPr>
          <w:p w14:paraId="5BD87983"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50</w:t>
            </w:r>
          </w:p>
        </w:tc>
        <w:tc>
          <w:tcPr>
            <w:tcW w:w="596" w:type="dxa"/>
          </w:tcPr>
          <w:p w14:paraId="1ABA7899"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50</w:t>
            </w:r>
          </w:p>
        </w:tc>
        <w:tc>
          <w:tcPr>
            <w:tcW w:w="580" w:type="dxa"/>
          </w:tcPr>
          <w:p w14:paraId="7EB14F88"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100</w:t>
            </w:r>
          </w:p>
        </w:tc>
        <w:tc>
          <w:tcPr>
            <w:tcW w:w="569" w:type="dxa"/>
          </w:tcPr>
          <w:p w14:paraId="73451F52"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100</w:t>
            </w:r>
          </w:p>
        </w:tc>
        <w:tc>
          <w:tcPr>
            <w:tcW w:w="596" w:type="dxa"/>
          </w:tcPr>
          <w:p w14:paraId="3DCF8400"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w:t>
            </w:r>
          </w:p>
        </w:tc>
        <w:tc>
          <w:tcPr>
            <w:tcW w:w="585" w:type="dxa"/>
          </w:tcPr>
          <w:p w14:paraId="5D07CD8A"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w:t>
            </w:r>
          </w:p>
        </w:tc>
        <w:tc>
          <w:tcPr>
            <w:tcW w:w="569" w:type="dxa"/>
          </w:tcPr>
          <w:p w14:paraId="0F65034C"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w:t>
            </w:r>
          </w:p>
        </w:tc>
        <w:tc>
          <w:tcPr>
            <w:tcW w:w="591" w:type="dxa"/>
          </w:tcPr>
          <w:p w14:paraId="313C3E1F"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w:t>
            </w:r>
          </w:p>
        </w:tc>
        <w:tc>
          <w:tcPr>
            <w:tcW w:w="585" w:type="dxa"/>
          </w:tcPr>
          <w:p w14:paraId="6F27F7FC"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150</w:t>
            </w:r>
          </w:p>
        </w:tc>
        <w:tc>
          <w:tcPr>
            <w:tcW w:w="696" w:type="dxa"/>
          </w:tcPr>
          <w:p w14:paraId="6B617EBF" w14:textId="7777777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AC750B">
              <w:t>0.056</w:t>
            </w:r>
          </w:p>
        </w:tc>
        <w:tc>
          <w:tcPr>
            <w:tcW w:w="805" w:type="dxa"/>
          </w:tcPr>
          <w:p w14:paraId="43FBA810" w14:textId="55D2D3F7" w:rsidR="00430C2F" w:rsidRPr="00AC750B" w:rsidRDefault="00430C2F" w:rsidP="00656AF0">
            <w:pPr>
              <w:pStyle w:val="Table1"/>
              <w:cnfStyle w:val="000000000000" w:firstRow="0" w:lastRow="0" w:firstColumn="0" w:lastColumn="0" w:oddVBand="0" w:evenVBand="0" w:oddHBand="0" w:evenHBand="0" w:firstRowFirstColumn="0" w:firstRowLastColumn="0" w:lastRowFirstColumn="0" w:lastRowLastColumn="0"/>
            </w:pPr>
            <w:r w:rsidRPr="002B083A">
              <w:t>23%</w:t>
            </w:r>
          </w:p>
        </w:tc>
      </w:tr>
    </w:tbl>
    <w:p w14:paraId="7137B191" w14:textId="77777777" w:rsidR="00EF1D77" w:rsidRDefault="00EF1D77" w:rsidP="00EF1D77">
      <w:pPr>
        <w:rPr>
          <w:rFonts w:cstheme="minorHAnsi"/>
          <w:lang w:val="en-US"/>
        </w:rPr>
      </w:pPr>
    </w:p>
    <w:p w14:paraId="00A3FF1E" w14:textId="29E024B0" w:rsidR="00EF1D77" w:rsidRDefault="00EF1D77" w:rsidP="00EF1D77">
      <w:pPr>
        <w:rPr>
          <w:lang w:val="en-US"/>
        </w:rPr>
      </w:pPr>
      <w:r w:rsidRPr="00F06DEA">
        <w:rPr>
          <w:rFonts w:cstheme="minorHAnsi"/>
          <w:lang w:val="en-US"/>
        </w:rPr>
        <w:t xml:space="preserve">The </w:t>
      </w:r>
      <w:r>
        <w:rPr>
          <w:rFonts w:cstheme="minorHAnsi"/>
          <w:lang w:val="en-US"/>
        </w:rPr>
        <w:t>PRM (in %) associated with the additional capacity as given above is given in Appendix E, Table E-</w:t>
      </w:r>
      <w:r w:rsidR="00EE4BD9">
        <w:rPr>
          <w:rFonts w:cstheme="minorHAnsi"/>
          <w:lang w:val="en-US"/>
        </w:rPr>
        <w:t>5</w:t>
      </w:r>
      <w:r>
        <w:rPr>
          <w:rFonts w:cstheme="minorHAnsi"/>
          <w:lang w:val="en-US"/>
        </w:rPr>
        <w:t>. On average over the 20-year planning period, it is around 19% for the winter peaking month (December) and 18% for the summer peaking month (June) with OR included.</w:t>
      </w:r>
    </w:p>
    <w:p w14:paraId="2E7EC3B1" w14:textId="1381550E" w:rsidR="00EF1D77" w:rsidRPr="00A7010B" w:rsidRDefault="00EF1D77" w:rsidP="00EF1D77">
      <w:pPr>
        <w:pStyle w:val="Heading7"/>
      </w:pPr>
      <w:bookmarkStart w:id="97" w:name="_Ref355866991"/>
      <w:bookmarkStart w:id="98" w:name="_Ref356368611"/>
      <w:r>
        <w:lastRenderedPageBreak/>
        <w:t xml:space="preserve">Case </w:t>
      </w:r>
      <w:r w:rsidR="00430C2F">
        <w:t>10</w:t>
      </w:r>
      <w:r>
        <w:t xml:space="preserve">.  </w:t>
      </w:r>
      <w:r w:rsidRPr="00A7010B">
        <w:t xml:space="preserve">Market </w:t>
      </w:r>
      <w:bookmarkEnd w:id="97"/>
      <w:bookmarkEnd w:id="98"/>
      <w:r>
        <w:t>Availability</w:t>
      </w:r>
    </w:p>
    <w:p w14:paraId="50263411" w14:textId="641B2741" w:rsidR="00EF1D77" w:rsidRDefault="00EF1D77" w:rsidP="00EF1D77">
      <w:pPr>
        <w:rPr>
          <w:rFonts w:cstheme="minorHAnsi"/>
          <w:lang w:val="en-US"/>
        </w:rPr>
      </w:pPr>
      <w:r>
        <w:rPr>
          <w:rFonts w:cstheme="minorHAnsi"/>
          <w:lang w:val="en-US"/>
        </w:rPr>
        <w:t>There are risks that capacity on the market is not available when called for</w:t>
      </w:r>
      <w:r w:rsidR="004A036B">
        <w:rPr>
          <w:rFonts w:cstheme="minorHAnsi"/>
          <w:lang w:val="en-US"/>
        </w:rPr>
        <w:t>.</w:t>
      </w:r>
      <w:r>
        <w:rPr>
          <w:rFonts w:cstheme="minorHAnsi"/>
          <w:lang w:val="en-US"/>
        </w:rPr>
        <w:t xml:space="preserve"> </w:t>
      </w:r>
      <w:r w:rsidR="004A036B">
        <w:rPr>
          <w:rFonts w:cstheme="minorHAnsi"/>
          <w:lang w:val="en-US"/>
        </w:rPr>
        <w:t>F</w:t>
      </w:r>
      <w:r>
        <w:rPr>
          <w:rFonts w:cstheme="minorHAnsi"/>
          <w:lang w:val="en-US"/>
        </w:rPr>
        <w:t>or example</w:t>
      </w:r>
      <w:r w:rsidR="004A036B">
        <w:rPr>
          <w:rFonts w:cstheme="minorHAnsi"/>
          <w:lang w:val="en-US"/>
        </w:rPr>
        <w:t>,</w:t>
      </w:r>
      <w:r>
        <w:rPr>
          <w:rFonts w:cstheme="minorHAnsi"/>
          <w:lang w:val="en-US"/>
        </w:rPr>
        <w:t xml:space="preserve"> during a heavy cold snap utilities </w:t>
      </w:r>
      <w:r w:rsidR="004A036B">
        <w:rPr>
          <w:rFonts w:cstheme="minorHAnsi"/>
          <w:lang w:val="en-US"/>
        </w:rPr>
        <w:t>may be</w:t>
      </w:r>
      <w:r>
        <w:rPr>
          <w:rFonts w:cstheme="minorHAnsi"/>
          <w:lang w:val="en-US"/>
        </w:rPr>
        <w:t xml:space="preserve"> competing for market purchase</w:t>
      </w:r>
      <w:r w:rsidR="004A036B">
        <w:rPr>
          <w:rFonts w:cstheme="minorHAnsi"/>
          <w:lang w:val="en-US"/>
        </w:rPr>
        <w:t>s</w:t>
      </w:r>
      <w:r>
        <w:rPr>
          <w:rFonts w:cstheme="minorHAnsi"/>
          <w:lang w:val="en-US"/>
        </w:rPr>
        <w:t xml:space="preserve"> </w:t>
      </w:r>
      <w:r w:rsidR="004A036B">
        <w:rPr>
          <w:rFonts w:cstheme="minorHAnsi"/>
          <w:lang w:val="en-US"/>
        </w:rPr>
        <w:t xml:space="preserve">and </w:t>
      </w:r>
      <w:r>
        <w:rPr>
          <w:rFonts w:cstheme="minorHAnsi"/>
          <w:lang w:val="en-US"/>
        </w:rPr>
        <w:t>there can be both transmission and generation constraints. This case evaluates impacts of different levels of the market availability at the fixed market size of 150MW.</w:t>
      </w:r>
    </w:p>
    <w:p w14:paraId="64A8628D" w14:textId="16EC3D25" w:rsidR="00EF1D77" w:rsidRDefault="00EF1D77" w:rsidP="00EF1D77">
      <w:pPr>
        <w:rPr>
          <w:b/>
          <w:bCs/>
          <w:color w:val="4F81BD" w:themeColor="accent1"/>
          <w:sz w:val="20"/>
          <w:szCs w:val="18"/>
        </w:rPr>
      </w:pPr>
      <w:r>
        <w:rPr>
          <w:rFonts w:cstheme="minorHAnsi"/>
          <w:lang w:val="en-US"/>
        </w:rPr>
        <w:t>Table 3-</w:t>
      </w:r>
      <w:r w:rsidR="00EE4BD9">
        <w:rPr>
          <w:rFonts w:cstheme="minorHAnsi"/>
          <w:lang w:val="en-US"/>
        </w:rPr>
        <w:t xml:space="preserve">12 </w:t>
      </w:r>
      <w:r>
        <w:rPr>
          <w:rFonts w:cstheme="minorHAnsi"/>
          <w:lang w:val="en-US"/>
        </w:rPr>
        <w:t>and Figure 3-3 sho</w:t>
      </w:r>
      <w:r w:rsidR="00120DA3">
        <w:rPr>
          <w:rFonts w:cstheme="minorHAnsi"/>
          <w:lang w:val="en-US"/>
        </w:rPr>
        <w:t>w that as long as the</w:t>
      </w:r>
      <w:r>
        <w:rPr>
          <w:rFonts w:cstheme="minorHAnsi"/>
          <w:lang w:val="en-US"/>
        </w:rPr>
        <w:t xml:space="preserve"> FOR </w:t>
      </w:r>
      <w:r w:rsidR="00120DA3">
        <w:rPr>
          <w:rFonts w:cstheme="minorHAnsi"/>
          <w:lang w:val="en-US"/>
        </w:rPr>
        <w:t xml:space="preserve">equivalent </w:t>
      </w:r>
      <w:r>
        <w:rPr>
          <w:rFonts w:cstheme="minorHAnsi"/>
          <w:lang w:val="en-US"/>
        </w:rPr>
        <w:t xml:space="preserve">for market access is less than 5%, the system is meeting the LOLE target for all years. At the FOR </w:t>
      </w:r>
      <w:r w:rsidR="00120DA3">
        <w:rPr>
          <w:rFonts w:cstheme="minorHAnsi"/>
          <w:lang w:val="en-US"/>
        </w:rPr>
        <w:t xml:space="preserve">equivalent </w:t>
      </w:r>
      <w:r>
        <w:rPr>
          <w:rFonts w:cstheme="minorHAnsi"/>
          <w:lang w:val="en-US"/>
        </w:rPr>
        <w:t xml:space="preserve">of 7% the system fails the LOLE target in the short period of 2022-2024 and by 2030. </w:t>
      </w:r>
      <w:bookmarkStart w:id="99" w:name="_Ref356197784"/>
      <w:bookmarkStart w:id="100" w:name="_Toc355786985"/>
      <w:r>
        <w:rPr>
          <w:rFonts w:cstheme="minorHAnsi"/>
          <w:lang w:val="en-US"/>
        </w:rPr>
        <w:t>The further the market FOR</w:t>
      </w:r>
      <w:r w:rsidR="00120DA3">
        <w:rPr>
          <w:rFonts w:cstheme="minorHAnsi"/>
          <w:lang w:val="en-US"/>
        </w:rPr>
        <w:t xml:space="preserve"> equivalent</w:t>
      </w:r>
      <w:r>
        <w:rPr>
          <w:rFonts w:cstheme="minorHAnsi"/>
          <w:lang w:val="en-US"/>
        </w:rPr>
        <w:t xml:space="preserve"> increases, the earlier the system experiences resource inadequacy.</w:t>
      </w:r>
    </w:p>
    <w:p w14:paraId="2AD9B2CF" w14:textId="7FF279AC" w:rsidR="00EF1D77" w:rsidRPr="002F7EE4" w:rsidRDefault="00EF1D77" w:rsidP="00EF1D77">
      <w:pPr>
        <w:pStyle w:val="TableHeading"/>
      </w:pPr>
      <w:bookmarkStart w:id="101" w:name="_Toc383169317"/>
      <w:bookmarkStart w:id="102" w:name="_Toc421190640"/>
      <w:bookmarkEnd w:id="99"/>
      <w:r>
        <w:t>Table 3-</w:t>
      </w:r>
      <w:r w:rsidR="00EE4BD9">
        <w:t>12</w:t>
      </w:r>
      <w:r>
        <w:t xml:space="preserve">: </w:t>
      </w:r>
      <w:r w:rsidRPr="002F7EE4">
        <w:t xml:space="preserve"> LOLE at Different Market FOR</w:t>
      </w:r>
      <w:bookmarkEnd w:id="100"/>
      <w:bookmarkEnd w:id="101"/>
      <w:r w:rsidR="00120DA3">
        <w:t xml:space="preserve"> Equivalent</w:t>
      </w:r>
      <w:bookmarkEnd w:id="102"/>
    </w:p>
    <w:tbl>
      <w:tblPr>
        <w:tblStyle w:val="LightList-Accent11"/>
        <w:tblW w:w="0" w:type="auto"/>
        <w:jc w:val="center"/>
        <w:tblLayout w:type="fixed"/>
        <w:tblLook w:val="04A0" w:firstRow="1" w:lastRow="0" w:firstColumn="1" w:lastColumn="0" w:noHBand="0" w:noVBand="1"/>
      </w:tblPr>
      <w:tblGrid>
        <w:gridCol w:w="959"/>
        <w:gridCol w:w="1129"/>
        <w:gridCol w:w="1170"/>
        <w:gridCol w:w="1260"/>
        <w:gridCol w:w="1260"/>
        <w:gridCol w:w="1350"/>
      </w:tblGrid>
      <w:tr w:rsidR="00EF1D77" w:rsidRPr="00E24C3D" w14:paraId="0F5A30EF" w14:textId="77777777" w:rsidTr="00656A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vAlign w:val="bottom"/>
          </w:tcPr>
          <w:p w14:paraId="7CAD8523" w14:textId="77777777" w:rsidR="00EF1D77" w:rsidRPr="00E24C3D" w:rsidRDefault="00EF1D77" w:rsidP="00656AF0">
            <w:pPr>
              <w:pStyle w:val="Table1"/>
            </w:pPr>
          </w:p>
        </w:tc>
        <w:tc>
          <w:tcPr>
            <w:tcW w:w="1129" w:type="dxa"/>
            <w:vAlign w:val="bottom"/>
          </w:tcPr>
          <w:p w14:paraId="27D99D08" w14:textId="77777777" w:rsidR="00EF1D77" w:rsidRPr="00E24C3D" w:rsidRDefault="00EF1D77" w:rsidP="00656AF0">
            <w:pPr>
              <w:pStyle w:val="Table1"/>
              <w:cnfStyle w:val="100000000000" w:firstRow="1" w:lastRow="0" w:firstColumn="0" w:lastColumn="0" w:oddVBand="0" w:evenVBand="0" w:oddHBand="0" w:evenHBand="0" w:firstRowFirstColumn="0" w:firstRowLastColumn="0" w:lastRowFirstColumn="0" w:lastRowLastColumn="0"/>
            </w:pPr>
            <w:r w:rsidRPr="00E24C3D">
              <w:t>0.74 %</w:t>
            </w:r>
          </w:p>
        </w:tc>
        <w:tc>
          <w:tcPr>
            <w:tcW w:w="1170" w:type="dxa"/>
            <w:vAlign w:val="bottom"/>
          </w:tcPr>
          <w:p w14:paraId="626A058F" w14:textId="77777777" w:rsidR="00EF1D77" w:rsidRPr="00E24C3D" w:rsidRDefault="00EF1D77" w:rsidP="00656AF0">
            <w:pPr>
              <w:pStyle w:val="Table1"/>
              <w:cnfStyle w:val="100000000000" w:firstRow="1" w:lastRow="0" w:firstColumn="0" w:lastColumn="0" w:oddVBand="0" w:evenVBand="0" w:oddHBand="0" w:evenHBand="0" w:firstRowFirstColumn="0" w:firstRowLastColumn="0" w:lastRowFirstColumn="0" w:lastRowLastColumn="0"/>
            </w:pPr>
            <w:r w:rsidRPr="00E24C3D">
              <w:t>3 %</w:t>
            </w:r>
          </w:p>
        </w:tc>
        <w:tc>
          <w:tcPr>
            <w:tcW w:w="1260" w:type="dxa"/>
            <w:vAlign w:val="bottom"/>
          </w:tcPr>
          <w:p w14:paraId="18642DFF" w14:textId="77777777" w:rsidR="00EF1D77" w:rsidRPr="00E24C3D" w:rsidRDefault="00EF1D77" w:rsidP="00656AF0">
            <w:pPr>
              <w:pStyle w:val="Table1"/>
              <w:cnfStyle w:val="100000000000" w:firstRow="1" w:lastRow="0" w:firstColumn="0" w:lastColumn="0" w:oddVBand="0" w:evenVBand="0" w:oddHBand="0" w:evenHBand="0" w:firstRowFirstColumn="0" w:firstRowLastColumn="0" w:lastRowFirstColumn="0" w:lastRowLastColumn="0"/>
            </w:pPr>
            <w:r w:rsidRPr="00E24C3D">
              <w:t>5 %</w:t>
            </w:r>
          </w:p>
        </w:tc>
        <w:tc>
          <w:tcPr>
            <w:tcW w:w="1260" w:type="dxa"/>
            <w:vAlign w:val="bottom"/>
          </w:tcPr>
          <w:p w14:paraId="56454A74" w14:textId="77777777" w:rsidR="00EF1D77" w:rsidRPr="00E24C3D" w:rsidRDefault="00EF1D77" w:rsidP="00656AF0">
            <w:pPr>
              <w:pStyle w:val="Table1"/>
              <w:cnfStyle w:val="100000000000" w:firstRow="1" w:lastRow="0" w:firstColumn="0" w:lastColumn="0" w:oddVBand="0" w:evenVBand="0" w:oddHBand="0" w:evenHBand="0" w:firstRowFirstColumn="0" w:firstRowLastColumn="0" w:lastRowFirstColumn="0" w:lastRowLastColumn="0"/>
            </w:pPr>
            <w:r w:rsidRPr="00E24C3D">
              <w:t>7 %</w:t>
            </w:r>
          </w:p>
        </w:tc>
        <w:tc>
          <w:tcPr>
            <w:tcW w:w="1350" w:type="dxa"/>
            <w:vAlign w:val="bottom"/>
          </w:tcPr>
          <w:p w14:paraId="3B463489" w14:textId="77777777" w:rsidR="00EF1D77" w:rsidRPr="00E24C3D" w:rsidRDefault="00EF1D77" w:rsidP="00656AF0">
            <w:pPr>
              <w:pStyle w:val="Table1"/>
              <w:cnfStyle w:val="100000000000" w:firstRow="1" w:lastRow="0" w:firstColumn="0" w:lastColumn="0" w:oddVBand="0" w:evenVBand="0" w:oddHBand="0" w:evenHBand="0" w:firstRowFirstColumn="0" w:firstRowLastColumn="0" w:lastRowFirstColumn="0" w:lastRowLastColumn="0"/>
            </w:pPr>
            <w:r w:rsidRPr="00E24C3D">
              <w:t>10 %</w:t>
            </w:r>
          </w:p>
        </w:tc>
      </w:tr>
      <w:tr w:rsidR="00EF1D77" w:rsidRPr="00CC1C45" w14:paraId="54F2582B" w14:textId="77777777" w:rsidTr="00656A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vAlign w:val="bottom"/>
          </w:tcPr>
          <w:p w14:paraId="1213E70A" w14:textId="77777777" w:rsidR="00EF1D77" w:rsidRPr="00CC1C45" w:rsidRDefault="00EF1D77" w:rsidP="00656AF0">
            <w:pPr>
              <w:pStyle w:val="Table1"/>
            </w:pPr>
            <w:r w:rsidRPr="00CC1C45">
              <w:t>2014</w:t>
            </w:r>
          </w:p>
        </w:tc>
        <w:tc>
          <w:tcPr>
            <w:tcW w:w="1129" w:type="dxa"/>
            <w:vAlign w:val="bottom"/>
          </w:tcPr>
          <w:p w14:paraId="2093368A"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0.016</w:t>
            </w:r>
          </w:p>
        </w:tc>
        <w:tc>
          <w:tcPr>
            <w:tcW w:w="1170" w:type="dxa"/>
            <w:vAlign w:val="bottom"/>
          </w:tcPr>
          <w:p w14:paraId="4A9FFFAF"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0.042</w:t>
            </w:r>
          </w:p>
        </w:tc>
        <w:tc>
          <w:tcPr>
            <w:tcW w:w="1260" w:type="dxa"/>
            <w:vAlign w:val="bottom"/>
          </w:tcPr>
          <w:p w14:paraId="7720B536"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0.069</w:t>
            </w:r>
          </w:p>
        </w:tc>
        <w:tc>
          <w:tcPr>
            <w:tcW w:w="1260" w:type="dxa"/>
            <w:vAlign w:val="bottom"/>
          </w:tcPr>
          <w:p w14:paraId="3CD4D440"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0.152</w:t>
            </w:r>
          </w:p>
        </w:tc>
        <w:tc>
          <w:tcPr>
            <w:tcW w:w="1350" w:type="dxa"/>
            <w:vAlign w:val="bottom"/>
          </w:tcPr>
          <w:p w14:paraId="4BDF6A00"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0.225</w:t>
            </w:r>
          </w:p>
        </w:tc>
      </w:tr>
      <w:tr w:rsidR="00EF1D77" w:rsidRPr="00CC1C45" w14:paraId="7535C997" w14:textId="77777777" w:rsidTr="00656AF0">
        <w:trPr>
          <w:jc w:val="center"/>
        </w:trPr>
        <w:tc>
          <w:tcPr>
            <w:cnfStyle w:val="001000000000" w:firstRow="0" w:lastRow="0" w:firstColumn="1" w:lastColumn="0" w:oddVBand="0" w:evenVBand="0" w:oddHBand="0" w:evenHBand="0" w:firstRowFirstColumn="0" w:firstRowLastColumn="0" w:lastRowFirstColumn="0" w:lastRowLastColumn="0"/>
            <w:tcW w:w="959" w:type="dxa"/>
            <w:vAlign w:val="bottom"/>
          </w:tcPr>
          <w:p w14:paraId="702D3F1D" w14:textId="77777777" w:rsidR="00EF1D77" w:rsidRPr="00CC1C45" w:rsidRDefault="00EF1D77" w:rsidP="00656AF0">
            <w:pPr>
              <w:pStyle w:val="Table1"/>
            </w:pPr>
            <w:r w:rsidRPr="00CC1C45">
              <w:t>2015</w:t>
            </w:r>
          </w:p>
        </w:tc>
        <w:tc>
          <w:tcPr>
            <w:tcW w:w="1129" w:type="dxa"/>
            <w:vAlign w:val="bottom"/>
          </w:tcPr>
          <w:p w14:paraId="12DB1F0B"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0.024</w:t>
            </w:r>
          </w:p>
        </w:tc>
        <w:tc>
          <w:tcPr>
            <w:tcW w:w="1170" w:type="dxa"/>
            <w:vAlign w:val="bottom"/>
          </w:tcPr>
          <w:p w14:paraId="7B42A4DC"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0.053</w:t>
            </w:r>
          </w:p>
        </w:tc>
        <w:tc>
          <w:tcPr>
            <w:tcW w:w="1260" w:type="dxa"/>
            <w:vAlign w:val="bottom"/>
          </w:tcPr>
          <w:p w14:paraId="46BB9125"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0.083</w:t>
            </w:r>
          </w:p>
        </w:tc>
        <w:tc>
          <w:tcPr>
            <w:tcW w:w="1260" w:type="dxa"/>
            <w:vAlign w:val="bottom"/>
          </w:tcPr>
          <w:p w14:paraId="24BC10C9"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0.093</w:t>
            </w:r>
          </w:p>
        </w:tc>
        <w:tc>
          <w:tcPr>
            <w:tcW w:w="1350" w:type="dxa"/>
            <w:vAlign w:val="bottom"/>
          </w:tcPr>
          <w:p w14:paraId="5DDCA86A"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0.151</w:t>
            </w:r>
          </w:p>
        </w:tc>
      </w:tr>
      <w:tr w:rsidR="00EF1D77" w:rsidRPr="00CC1C45" w14:paraId="0952A8BC" w14:textId="77777777" w:rsidTr="00656A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vAlign w:val="bottom"/>
          </w:tcPr>
          <w:p w14:paraId="2B8392F4" w14:textId="77777777" w:rsidR="00EF1D77" w:rsidRPr="00CC1C45" w:rsidRDefault="00EF1D77" w:rsidP="00656AF0">
            <w:pPr>
              <w:pStyle w:val="Table1"/>
            </w:pPr>
            <w:r w:rsidRPr="00CC1C45">
              <w:t>2016</w:t>
            </w:r>
          </w:p>
        </w:tc>
        <w:tc>
          <w:tcPr>
            <w:tcW w:w="1129" w:type="dxa"/>
            <w:vAlign w:val="bottom"/>
          </w:tcPr>
          <w:p w14:paraId="71A96019"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0.016</w:t>
            </w:r>
          </w:p>
        </w:tc>
        <w:tc>
          <w:tcPr>
            <w:tcW w:w="1170" w:type="dxa"/>
            <w:vAlign w:val="bottom"/>
          </w:tcPr>
          <w:p w14:paraId="09D88789"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0.013</w:t>
            </w:r>
          </w:p>
        </w:tc>
        <w:tc>
          <w:tcPr>
            <w:tcW w:w="1260" w:type="dxa"/>
            <w:vAlign w:val="bottom"/>
          </w:tcPr>
          <w:p w14:paraId="52D44E56"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0.038</w:t>
            </w:r>
          </w:p>
        </w:tc>
        <w:tc>
          <w:tcPr>
            <w:tcW w:w="1260" w:type="dxa"/>
            <w:vAlign w:val="bottom"/>
          </w:tcPr>
          <w:p w14:paraId="35CE2298"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0.036</w:t>
            </w:r>
          </w:p>
        </w:tc>
        <w:tc>
          <w:tcPr>
            <w:tcW w:w="1350" w:type="dxa"/>
            <w:vAlign w:val="bottom"/>
          </w:tcPr>
          <w:p w14:paraId="4011E388"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0.046</w:t>
            </w:r>
          </w:p>
        </w:tc>
      </w:tr>
      <w:tr w:rsidR="00EF1D77" w:rsidRPr="00CC1C45" w14:paraId="1C73747E" w14:textId="77777777" w:rsidTr="00656AF0">
        <w:trPr>
          <w:jc w:val="center"/>
        </w:trPr>
        <w:tc>
          <w:tcPr>
            <w:cnfStyle w:val="001000000000" w:firstRow="0" w:lastRow="0" w:firstColumn="1" w:lastColumn="0" w:oddVBand="0" w:evenVBand="0" w:oddHBand="0" w:evenHBand="0" w:firstRowFirstColumn="0" w:firstRowLastColumn="0" w:lastRowFirstColumn="0" w:lastRowLastColumn="0"/>
            <w:tcW w:w="959" w:type="dxa"/>
            <w:vAlign w:val="bottom"/>
          </w:tcPr>
          <w:p w14:paraId="431FDCFC" w14:textId="77777777" w:rsidR="00EF1D77" w:rsidRPr="00CC1C45" w:rsidRDefault="00EF1D77" w:rsidP="00656AF0">
            <w:pPr>
              <w:pStyle w:val="Table1"/>
            </w:pPr>
            <w:r w:rsidRPr="00CC1C45">
              <w:t>2017</w:t>
            </w:r>
          </w:p>
        </w:tc>
        <w:tc>
          <w:tcPr>
            <w:tcW w:w="1129" w:type="dxa"/>
            <w:vAlign w:val="bottom"/>
          </w:tcPr>
          <w:p w14:paraId="386D7B3A"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0.009</w:t>
            </w:r>
          </w:p>
        </w:tc>
        <w:tc>
          <w:tcPr>
            <w:tcW w:w="1170" w:type="dxa"/>
            <w:vAlign w:val="bottom"/>
          </w:tcPr>
          <w:p w14:paraId="5B1D2514"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0.021</w:t>
            </w:r>
          </w:p>
        </w:tc>
        <w:tc>
          <w:tcPr>
            <w:tcW w:w="1260" w:type="dxa"/>
            <w:vAlign w:val="bottom"/>
          </w:tcPr>
          <w:p w14:paraId="08245546"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0.023</w:t>
            </w:r>
          </w:p>
        </w:tc>
        <w:tc>
          <w:tcPr>
            <w:tcW w:w="1260" w:type="dxa"/>
            <w:vAlign w:val="bottom"/>
          </w:tcPr>
          <w:p w14:paraId="74E80C35"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0.032</w:t>
            </w:r>
          </w:p>
        </w:tc>
        <w:tc>
          <w:tcPr>
            <w:tcW w:w="1350" w:type="dxa"/>
            <w:vAlign w:val="bottom"/>
          </w:tcPr>
          <w:p w14:paraId="05294CC9"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0.062</w:t>
            </w:r>
          </w:p>
        </w:tc>
      </w:tr>
      <w:tr w:rsidR="00EF1D77" w:rsidRPr="00CC1C45" w14:paraId="59E778BF" w14:textId="77777777" w:rsidTr="00656A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vAlign w:val="bottom"/>
          </w:tcPr>
          <w:p w14:paraId="1448C577" w14:textId="77777777" w:rsidR="00EF1D77" w:rsidRPr="00CC1C45" w:rsidRDefault="00EF1D77" w:rsidP="00656AF0">
            <w:pPr>
              <w:pStyle w:val="Table1"/>
            </w:pPr>
            <w:r w:rsidRPr="00CC1C45">
              <w:t>2018</w:t>
            </w:r>
          </w:p>
        </w:tc>
        <w:tc>
          <w:tcPr>
            <w:tcW w:w="1129" w:type="dxa"/>
            <w:vAlign w:val="bottom"/>
          </w:tcPr>
          <w:p w14:paraId="46CC28D7"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0.016</w:t>
            </w:r>
          </w:p>
        </w:tc>
        <w:tc>
          <w:tcPr>
            <w:tcW w:w="1170" w:type="dxa"/>
            <w:vAlign w:val="bottom"/>
          </w:tcPr>
          <w:p w14:paraId="2147AC4E"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0.039</w:t>
            </w:r>
          </w:p>
        </w:tc>
        <w:tc>
          <w:tcPr>
            <w:tcW w:w="1260" w:type="dxa"/>
            <w:vAlign w:val="bottom"/>
          </w:tcPr>
          <w:p w14:paraId="55A9EAE6"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0.047</w:t>
            </w:r>
          </w:p>
        </w:tc>
        <w:tc>
          <w:tcPr>
            <w:tcW w:w="1260" w:type="dxa"/>
            <w:vAlign w:val="bottom"/>
          </w:tcPr>
          <w:p w14:paraId="72A56D17"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0.080</w:t>
            </w:r>
          </w:p>
        </w:tc>
        <w:tc>
          <w:tcPr>
            <w:tcW w:w="1350" w:type="dxa"/>
            <w:vAlign w:val="bottom"/>
          </w:tcPr>
          <w:p w14:paraId="4F570F01"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0.106</w:t>
            </w:r>
          </w:p>
        </w:tc>
      </w:tr>
      <w:tr w:rsidR="00EF1D77" w:rsidRPr="00CC1C45" w14:paraId="4701A8FC" w14:textId="77777777" w:rsidTr="00656AF0">
        <w:trPr>
          <w:jc w:val="center"/>
        </w:trPr>
        <w:tc>
          <w:tcPr>
            <w:cnfStyle w:val="001000000000" w:firstRow="0" w:lastRow="0" w:firstColumn="1" w:lastColumn="0" w:oddVBand="0" w:evenVBand="0" w:oddHBand="0" w:evenHBand="0" w:firstRowFirstColumn="0" w:firstRowLastColumn="0" w:lastRowFirstColumn="0" w:lastRowLastColumn="0"/>
            <w:tcW w:w="959" w:type="dxa"/>
            <w:vAlign w:val="bottom"/>
          </w:tcPr>
          <w:p w14:paraId="201019FF" w14:textId="77777777" w:rsidR="00EF1D77" w:rsidRPr="00CC1C45" w:rsidRDefault="00EF1D77" w:rsidP="00656AF0">
            <w:pPr>
              <w:pStyle w:val="Table1"/>
            </w:pPr>
            <w:r w:rsidRPr="00CC1C45">
              <w:t>2019</w:t>
            </w:r>
          </w:p>
        </w:tc>
        <w:tc>
          <w:tcPr>
            <w:tcW w:w="1129" w:type="dxa"/>
            <w:vAlign w:val="bottom"/>
          </w:tcPr>
          <w:p w14:paraId="24C2009D"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0.020</w:t>
            </w:r>
          </w:p>
        </w:tc>
        <w:tc>
          <w:tcPr>
            <w:tcW w:w="1170" w:type="dxa"/>
            <w:vAlign w:val="bottom"/>
          </w:tcPr>
          <w:p w14:paraId="419E4A9F"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0.032</w:t>
            </w:r>
          </w:p>
        </w:tc>
        <w:tc>
          <w:tcPr>
            <w:tcW w:w="1260" w:type="dxa"/>
            <w:vAlign w:val="bottom"/>
          </w:tcPr>
          <w:p w14:paraId="70A18974"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0.078</w:t>
            </w:r>
          </w:p>
        </w:tc>
        <w:tc>
          <w:tcPr>
            <w:tcW w:w="1260" w:type="dxa"/>
            <w:vAlign w:val="bottom"/>
          </w:tcPr>
          <w:p w14:paraId="0023233A"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0.087</w:t>
            </w:r>
          </w:p>
        </w:tc>
        <w:tc>
          <w:tcPr>
            <w:tcW w:w="1350" w:type="dxa"/>
            <w:vAlign w:val="bottom"/>
          </w:tcPr>
          <w:p w14:paraId="5F0B13C0"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0.105</w:t>
            </w:r>
          </w:p>
        </w:tc>
      </w:tr>
      <w:tr w:rsidR="00EF1D77" w:rsidRPr="00CC1C45" w14:paraId="04C3FA28" w14:textId="77777777" w:rsidTr="00656A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vAlign w:val="bottom"/>
          </w:tcPr>
          <w:p w14:paraId="25BC938E" w14:textId="77777777" w:rsidR="00EF1D77" w:rsidRPr="00CC1C45" w:rsidRDefault="00EF1D77" w:rsidP="00656AF0">
            <w:pPr>
              <w:pStyle w:val="Table1"/>
            </w:pPr>
            <w:r w:rsidRPr="00CC1C45">
              <w:t>2020</w:t>
            </w:r>
          </w:p>
        </w:tc>
        <w:tc>
          <w:tcPr>
            <w:tcW w:w="1129" w:type="dxa"/>
            <w:vAlign w:val="bottom"/>
          </w:tcPr>
          <w:p w14:paraId="4E75776A"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0.015</w:t>
            </w:r>
          </w:p>
        </w:tc>
        <w:tc>
          <w:tcPr>
            <w:tcW w:w="1170" w:type="dxa"/>
            <w:vAlign w:val="bottom"/>
          </w:tcPr>
          <w:p w14:paraId="0B730CA1"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0.041</w:t>
            </w:r>
          </w:p>
        </w:tc>
        <w:tc>
          <w:tcPr>
            <w:tcW w:w="1260" w:type="dxa"/>
            <w:vAlign w:val="bottom"/>
          </w:tcPr>
          <w:p w14:paraId="57B83E46"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0.055</w:t>
            </w:r>
          </w:p>
        </w:tc>
        <w:tc>
          <w:tcPr>
            <w:tcW w:w="1260" w:type="dxa"/>
            <w:vAlign w:val="bottom"/>
          </w:tcPr>
          <w:p w14:paraId="5239EFB3"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0.088</w:t>
            </w:r>
          </w:p>
        </w:tc>
        <w:tc>
          <w:tcPr>
            <w:tcW w:w="1350" w:type="dxa"/>
            <w:vAlign w:val="bottom"/>
          </w:tcPr>
          <w:p w14:paraId="13AD91ED"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0.113</w:t>
            </w:r>
          </w:p>
        </w:tc>
      </w:tr>
      <w:tr w:rsidR="00EF1D77" w:rsidRPr="00CC1C45" w14:paraId="7E518B8E" w14:textId="77777777" w:rsidTr="00656AF0">
        <w:trPr>
          <w:jc w:val="center"/>
        </w:trPr>
        <w:tc>
          <w:tcPr>
            <w:cnfStyle w:val="001000000000" w:firstRow="0" w:lastRow="0" w:firstColumn="1" w:lastColumn="0" w:oddVBand="0" w:evenVBand="0" w:oddHBand="0" w:evenHBand="0" w:firstRowFirstColumn="0" w:firstRowLastColumn="0" w:lastRowFirstColumn="0" w:lastRowLastColumn="0"/>
            <w:tcW w:w="959" w:type="dxa"/>
            <w:vAlign w:val="bottom"/>
          </w:tcPr>
          <w:p w14:paraId="6D6087D3" w14:textId="77777777" w:rsidR="00EF1D77" w:rsidRPr="00CC1C45" w:rsidRDefault="00EF1D77" w:rsidP="00656AF0">
            <w:pPr>
              <w:pStyle w:val="Table1"/>
            </w:pPr>
            <w:r w:rsidRPr="00CC1C45">
              <w:t>2025</w:t>
            </w:r>
          </w:p>
        </w:tc>
        <w:tc>
          <w:tcPr>
            <w:tcW w:w="1129" w:type="dxa"/>
            <w:vAlign w:val="bottom"/>
          </w:tcPr>
          <w:p w14:paraId="2B47ABCE"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0.021</w:t>
            </w:r>
          </w:p>
        </w:tc>
        <w:tc>
          <w:tcPr>
            <w:tcW w:w="1170" w:type="dxa"/>
            <w:vAlign w:val="bottom"/>
          </w:tcPr>
          <w:p w14:paraId="7796C4F1"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0.059</w:t>
            </w:r>
          </w:p>
        </w:tc>
        <w:tc>
          <w:tcPr>
            <w:tcW w:w="1260" w:type="dxa"/>
            <w:vAlign w:val="bottom"/>
          </w:tcPr>
          <w:p w14:paraId="6E0E39D9"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0.087</w:t>
            </w:r>
          </w:p>
        </w:tc>
        <w:tc>
          <w:tcPr>
            <w:tcW w:w="1260" w:type="dxa"/>
            <w:vAlign w:val="bottom"/>
          </w:tcPr>
          <w:p w14:paraId="32CE340B"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0.093</w:t>
            </w:r>
          </w:p>
        </w:tc>
        <w:tc>
          <w:tcPr>
            <w:tcW w:w="1350" w:type="dxa"/>
            <w:vAlign w:val="bottom"/>
          </w:tcPr>
          <w:p w14:paraId="2BAF475D"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0.152</w:t>
            </w:r>
          </w:p>
        </w:tc>
      </w:tr>
      <w:tr w:rsidR="00EF1D77" w:rsidRPr="00CC1C45" w14:paraId="0FC2AFA3" w14:textId="77777777" w:rsidTr="00656AF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59" w:type="dxa"/>
            <w:vAlign w:val="bottom"/>
          </w:tcPr>
          <w:p w14:paraId="1963BF73" w14:textId="77777777" w:rsidR="00EF1D77" w:rsidRPr="00CC1C45" w:rsidRDefault="00EF1D77" w:rsidP="00656AF0">
            <w:pPr>
              <w:pStyle w:val="Table1"/>
            </w:pPr>
            <w:r w:rsidRPr="00CC1C45">
              <w:t>2030</w:t>
            </w:r>
          </w:p>
        </w:tc>
        <w:tc>
          <w:tcPr>
            <w:tcW w:w="1129" w:type="dxa"/>
            <w:vAlign w:val="bottom"/>
          </w:tcPr>
          <w:p w14:paraId="22B451CE"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0.024</w:t>
            </w:r>
          </w:p>
        </w:tc>
        <w:tc>
          <w:tcPr>
            <w:tcW w:w="1170" w:type="dxa"/>
            <w:vAlign w:val="bottom"/>
          </w:tcPr>
          <w:p w14:paraId="7AB31A0F"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0.053</w:t>
            </w:r>
          </w:p>
        </w:tc>
        <w:tc>
          <w:tcPr>
            <w:tcW w:w="1260" w:type="dxa"/>
            <w:vAlign w:val="bottom"/>
          </w:tcPr>
          <w:p w14:paraId="43FBA391"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0.094</w:t>
            </w:r>
          </w:p>
        </w:tc>
        <w:tc>
          <w:tcPr>
            <w:tcW w:w="1260" w:type="dxa"/>
            <w:vAlign w:val="bottom"/>
          </w:tcPr>
          <w:p w14:paraId="27BEBDBB"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0.141</w:t>
            </w:r>
          </w:p>
        </w:tc>
        <w:tc>
          <w:tcPr>
            <w:tcW w:w="1350" w:type="dxa"/>
            <w:vAlign w:val="bottom"/>
          </w:tcPr>
          <w:p w14:paraId="5B81706B" w14:textId="77777777" w:rsidR="00EF1D77" w:rsidRPr="00CC1C45" w:rsidRDefault="00EF1D77" w:rsidP="00656AF0">
            <w:pPr>
              <w:pStyle w:val="Table1"/>
              <w:cnfStyle w:val="000000100000" w:firstRow="0" w:lastRow="0" w:firstColumn="0" w:lastColumn="0" w:oddVBand="0" w:evenVBand="0" w:oddHBand="1" w:evenHBand="0" w:firstRowFirstColumn="0" w:firstRowLastColumn="0" w:lastRowFirstColumn="0" w:lastRowLastColumn="0"/>
            </w:pPr>
            <w:r w:rsidRPr="00CC1C45">
              <w:t>0.144</w:t>
            </w:r>
          </w:p>
        </w:tc>
      </w:tr>
      <w:tr w:rsidR="00EF1D77" w:rsidRPr="00CC1C45" w14:paraId="5ECF1CBA" w14:textId="77777777" w:rsidTr="00656AF0">
        <w:trPr>
          <w:jc w:val="center"/>
        </w:trPr>
        <w:tc>
          <w:tcPr>
            <w:cnfStyle w:val="001000000000" w:firstRow="0" w:lastRow="0" w:firstColumn="1" w:lastColumn="0" w:oddVBand="0" w:evenVBand="0" w:oddHBand="0" w:evenHBand="0" w:firstRowFirstColumn="0" w:firstRowLastColumn="0" w:lastRowFirstColumn="0" w:lastRowLastColumn="0"/>
            <w:tcW w:w="959" w:type="dxa"/>
            <w:vAlign w:val="bottom"/>
          </w:tcPr>
          <w:p w14:paraId="3AD8AFDF" w14:textId="77777777" w:rsidR="00EF1D77" w:rsidRPr="00CC1C45" w:rsidRDefault="00EF1D77" w:rsidP="00656AF0">
            <w:pPr>
              <w:pStyle w:val="Table1"/>
            </w:pPr>
            <w:r w:rsidRPr="00CC1C45">
              <w:t>2033</w:t>
            </w:r>
          </w:p>
        </w:tc>
        <w:tc>
          <w:tcPr>
            <w:tcW w:w="1129" w:type="dxa"/>
            <w:vAlign w:val="bottom"/>
          </w:tcPr>
          <w:p w14:paraId="25DFC592"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0.030</w:t>
            </w:r>
          </w:p>
        </w:tc>
        <w:tc>
          <w:tcPr>
            <w:tcW w:w="1170" w:type="dxa"/>
            <w:vAlign w:val="bottom"/>
          </w:tcPr>
          <w:p w14:paraId="14AB376D"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0.074</w:t>
            </w:r>
          </w:p>
        </w:tc>
        <w:tc>
          <w:tcPr>
            <w:tcW w:w="1260" w:type="dxa"/>
            <w:vAlign w:val="bottom"/>
          </w:tcPr>
          <w:p w14:paraId="077A0BB8"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0.110</w:t>
            </w:r>
          </w:p>
        </w:tc>
        <w:tc>
          <w:tcPr>
            <w:tcW w:w="1260" w:type="dxa"/>
            <w:vAlign w:val="bottom"/>
          </w:tcPr>
          <w:p w14:paraId="70205161"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0.167</w:t>
            </w:r>
          </w:p>
        </w:tc>
        <w:tc>
          <w:tcPr>
            <w:tcW w:w="1350" w:type="dxa"/>
            <w:vAlign w:val="bottom"/>
          </w:tcPr>
          <w:p w14:paraId="22DEF7A4" w14:textId="77777777" w:rsidR="00EF1D77" w:rsidRPr="00CC1C45" w:rsidRDefault="00EF1D77" w:rsidP="00656AF0">
            <w:pPr>
              <w:pStyle w:val="Table1"/>
              <w:cnfStyle w:val="000000000000" w:firstRow="0" w:lastRow="0" w:firstColumn="0" w:lastColumn="0" w:oddVBand="0" w:evenVBand="0" w:oddHBand="0" w:evenHBand="0" w:firstRowFirstColumn="0" w:firstRowLastColumn="0" w:lastRowFirstColumn="0" w:lastRowLastColumn="0"/>
            </w:pPr>
            <w:r w:rsidRPr="00CC1C45">
              <w:t>0.216</w:t>
            </w:r>
          </w:p>
        </w:tc>
      </w:tr>
    </w:tbl>
    <w:p w14:paraId="4A8DF6B8" w14:textId="77777777" w:rsidR="00EF1D77" w:rsidRDefault="00EF1D77" w:rsidP="00EF1D77">
      <w:bookmarkStart w:id="103" w:name="_Ref377455561"/>
      <w:bookmarkStart w:id="104" w:name="_Toc383169335"/>
      <w:bookmarkStart w:id="105" w:name="_Ref355952281"/>
      <w:bookmarkStart w:id="106" w:name="_Toc355786991"/>
    </w:p>
    <w:p w14:paraId="433EC0F1" w14:textId="7D311DB3" w:rsidR="00EF1D77" w:rsidRDefault="00EF1D77" w:rsidP="00EF1D77">
      <w:pPr>
        <w:pStyle w:val="FigureHeading"/>
      </w:pPr>
      <w:bookmarkStart w:id="107" w:name="_Toc421190644"/>
      <w:r>
        <w:lastRenderedPageBreak/>
        <w:t xml:space="preserve">Figure </w:t>
      </w:r>
      <w:bookmarkEnd w:id="103"/>
      <w:r>
        <w:t xml:space="preserve">3-3:  </w:t>
      </w:r>
      <w:r w:rsidRPr="002F7EE4">
        <w:t>LOLEs at Different Market FOR</w:t>
      </w:r>
      <w:r>
        <w:t>s</w:t>
      </w:r>
      <w:bookmarkEnd w:id="104"/>
      <w:r w:rsidR="00120DA3">
        <w:t xml:space="preserve"> Equivalent</w:t>
      </w:r>
      <w:bookmarkEnd w:id="107"/>
      <w:r w:rsidRPr="002F7EE4">
        <w:t xml:space="preserve"> </w:t>
      </w:r>
    </w:p>
    <w:p w14:paraId="597CBE0F" w14:textId="77777777" w:rsidR="00EF1D77" w:rsidRDefault="00EF1D77" w:rsidP="00EF1D77">
      <w:pPr>
        <w:jc w:val="center"/>
      </w:pPr>
      <w:r>
        <w:rPr>
          <w:noProof/>
          <w:lang w:eastAsia="en-CA"/>
        </w:rPr>
        <w:drawing>
          <wp:inline distT="0" distB="0" distL="0" distR="0" wp14:anchorId="0955A035" wp14:editId="34EFD391">
            <wp:extent cx="4301053" cy="2520000"/>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301053" cy="2520000"/>
                    </a:xfrm>
                    <a:prstGeom prst="rect">
                      <a:avLst/>
                    </a:prstGeom>
                    <a:noFill/>
                    <a:ln>
                      <a:noFill/>
                    </a:ln>
                  </pic:spPr>
                </pic:pic>
              </a:graphicData>
            </a:graphic>
          </wp:inline>
        </w:drawing>
      </w:r>
    </w:p>
    <w:bookmarkEnd w:id="105"/>
    <w:bookmarkEnd w:id="106"/>
    <w:p w14:paraId="21941D7E" w14:textId="77777777" w:rsidR="00EF1D77" w:rsidRDefault="00EF1D77" w:rsidP="00EF1D77">
      <w:pPr>
        <w:pStyle w:val="FigureCentre"/>
        <w:rPr>
          <w:rFonts w:cstheme="minorHAnsi"/>
          <w:lang w:val="en-US"/>
        </w:rPr>
      </w:pPr>
    </w:p>
    <w:p w14:paraId="4A3C2EA8" w14:textId="77777777" w:rsidR="00EF1D77" w:rsidRDefault="00EF1D77" w:rsidP="00EF1D77">
      <w:pPr>
        <w:pStyle w:val="Heading1"/>
        <w:sectPr w:rsidR="00EF1D77" w:rsidSect="0054077C">
          <w:footerReference w:type="default" r:id="rId20"/>
          <w:pgSz w:w="12240" w:h="15840"/>
          <w:pgMar w:top="1440" w:right="1440" w:bottom="1440" w:left="1440" w:header="708" w:footer="708" w:gutter="0"/>
          <w:lnNumType w:countBy="1"/>
          <w:cols w:space="708"/>
          <w:docGrid w:linePitch="360"/>
        </w:sectPr>
      </w:pPr>
      <w:bookmarkStart w:id="108" w:name="_Toc355786965"/>
      <w:bookmarkStart w:id="109" w:name="_Toc383170527"/>
    </w:p>
    <w:p w14:paraId="01D6D29B" w14:textId="77777777" w:rsidR="00EF1D77" w:rsidRPr="00CC1C45" w:rsidRDefault="00EF1D77" w:rsidP="00EF1D77">
      <w:pPr>
        <w:pStyle w:val="Heading1"/>
      </w:pPr>
      <w:bookmarkStart w:id="110" w:name="_Toc426649361"/>
      <w:r w:rsidRPr="00CC1C45">
        <w:lastRenderedPageBreak/>
        <w:t>Conclusion</w:t>
      </w:r>
      <w:bookmarkEnd w:id="108"/>
      <w:bookmarkEnd w:id="109"/>
      <w:bookmarkEnd w:id="110"/>
    </w:p>
    <w:p w14:paraId="1535D9C8" w14:textId="6E26943E" w:rsidR="000268E8" w:rsidRDefault="00EF1D77" w:rsidP="00EF1D77">
      <w:r>
        <w:t xml:space="preserve">FBC </w:t>
      </w:r>
      <w:r w:rsidR="00A84FE5">
        <w:t>must</w:t>
      </w:r>
      <w:r>
        <w:t xml:space="preserve"> ensure reliable power supply to its customers in a cost effective manner. </w:t>
      </w:r>
      <w:r w:rsidR="0011380F">
        <w:t xml:space="preserve">To achieve this </w:t>
      </w:r>
      <w:r w:rsidR="00215E62">
        <w:t xml:space="preserve">PRM </w:t>
      </w:r>
      <w:r>
        <w:t xml:space="preserve">resource adequacy requirements </w:t>
      </w:r>
      <w:r w:rsidR="0011380F">
        <w:t>need to be met</w:t>
      </w:r>
      <w:r w:rsidR="00215E62">
        <w:t>.</w:t>
      </w:r>
      <w:r w:rsidR="0011380F">
        <w:t xml:space="preserve"> FBC has determined that a </w:t>
      </w:r>
      <w:r w:rsidR="00215E62">
        <w:t xml:space="preserve">Monte Carlo </w:t>
      </w:r>
      <w:r w:rsidR="0011380F">
        <w:t xml:space="preserve">probabilistic </w:t>
      </w:r>
      <w:r w:rsidR="003C032B">
        <w:t>approach</w:t>
      </w:r>
      <w:r w:rsidR="0011380F">
        <w:t xml:space="preserve"> to </w:t>
      </w:r>
      <w:r w:rsidR="00215E62">
        <w:t xml:space="preserve">determine </w:t>
      </w:r>
      <w:r>
        <w:t>PRM</w:t>
      </w:r>
      <w:r w:rsidR="0011380F">
        <w:t xml:space="preserve"> </w:t>
      </w:r>
      <w:r w:rsidR="00215E62">
        <w:t>requirements is the best approach.</w:t>
      </w:r>
      <w:r>
        <w:t xml:space="preserve">  </w:t>
      </w:r>
      <w:r w:rsidR="00215E62">
        <w:t>The most common measure to study PRM requirements is the Loss-Of-Load-Expectation (LOLE) of 1 day per 10 years or 0.1 day per year, which is an industry standard target for resource adequacy</w:t>
      </w:r>
      <w:r w:rsidR="00684E33">
        <w:t xml:space="preserve"> and has been adopted by FBC as well</w:t>
      </w:r>
      <w:r w:rsidR="00215E62">
        <w:t>.</w:t>
      </w:r>
    </w:p>
    <w:p w14:paraId="295A232E" w14:textId="34E278BE" w:rsidR="00EF1D77" w:rsidRDefault="00EF1D77" w:rsidP="00EF1D77">
      <w:r>
        <w:t xml:space="preserve">FBC believes </w:t>
      </w:r>
      <w:r w:rsidR="003C032B">
        <w:t xml:space="preserve">additional resources must be acquired to meet any expected capacity gaps between </w:t>
      </w:r>
      <w:r w:rsidR="000268E8">
        <w:t>existing resources and expected loads</w:t>
      </w:r>
      <w:r w:rsidR="00BE4277">
        <w:t xml:space="preserve"> and this will be addressed as part of FBC’s ongoing Resource Planning activities</w:t>
      </w:r>
      <w:r w:rsidR="003A5C5B">
        <w:t xml:space="preserve"> and within its next 2016 LTERP</w:t>
      </w:r>
      <w:r w:rsidR="000268E8">
        <w:t xml:space="preserve">. However, once this is accomplished, </w:t>
      </w:r>
      <w:r>
        <w:t xml:space="preserve">available resources </w:t>
      </w:r>
      <w:r w:rsidR="003C032B">
        <w:t xml:space="preserve">combined with market access of 150 MW </w:t>
      </w:r>
      <w:r>
        <w:t>meet</w:t>
      </w:r>
      <w:r w:rsidR="000268E8">
        <w:t>s</w:t>
      </w:r>
      <w:r>
        <w:t xml:space="preserve"> PRM requirements and no further resources </w:t>
      </w:r>
      <w:r w:rsidR="000268E8">
        <w:t xml:space="preserve">beyond those required to meet expected loads </w:t>
      </w:r>
      <w:r>
        <w:t>are required at this time.</w:t>
      </w:r>
    </w:p>
    <w:p w14:paraId="7F2D15C2" w14:textId="7156BAF2" w:rsidR="00EF1D77" w:rsidRDefault="003C032B" w:rsidP="00EF1D77">
      <w:r>
        <w:t xml:space="preserve">FBC </w:t>
      </w:r>
      <w:r w:rsidR="00EF1D77">
        <w:t>evaluated its resource adequacy with respect to the LOLE target of 1 day in 10 years over a number of sensitivity scenarios where certain aspects of the operating environment deviated from the expected conditions. These scena</w:t>
      </w:r>
      <w:r w:rsidR="005B486E">
        <w:t>rios are</w:t>
      </w:r>
      <w:r w:rsidR="00EF1D77">
        <w:t xml:space="preserve"> categorized in three groups related to load, resources, and market assumptions. </w:t>
      </w:r>
      <w:r w:rsidR="005B486E">
        <w:t>The o</w:t>
      </w:r>
      <w:r w:rsidR="00EF1D77">
        <w:t xml:space="preserve">utcome of the studies are summarized below. </w:t>
      </w:r>
    </w:p>
    <w:tbl>
      <w:tblPr>
        <w:tblStyle w:val="LightList-Accent11"/>
        <w:tblW w:w="9238" w:type="dxa"/>
        <w:tblInd w:w="108" w:type="dxa"/>
        <w:tblLook w:val="04A0" w:firstRow="1" w:lastRow="0" w:firstColumn="1" w:lastColumn="0" w:noHBand="0" w:noVBand="1"/>
      </w:tblPr>
      <w:tblGrid>
        <w:gridCol w:w="1418"/>
        <w:gridCol w:w="4418"/>
        <w:gridCol w:w="3402"/>
      </w:tblGrid>
      <w:tr w:rsidR="00EF1D77" w:rsidRPr="00E24C3D" w14:paraId="12B4ECE1" w14:textId="77777777" w:rsidTr="00656A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center"/>
          </w:tcPr>
          <w:p w14:paraId="7FA8AB10" w14:textId="77777777" w:rsidR="00EF1D77" w:rsidRPr="00E24C3D" w:rsidRDefault="00EF1D77" w:rsidP="00656AF0">
            <w:pPr>
              <w:pStyle w:val="Table1"/>
              <w:rPr>
                <w:lang w:val="en-US"/>
              </w:rPr>
            </w:pPr>
            <w:r w:rsidRPr="00E24C3D">
              <w:rPr>
                <w:lang w:val="en-US"/>
              </w:rPr>
              <w:t>Case</w:t>
            </w:r>
          </w:p>
        </w:tc>
        <w:tc>
          <w:tcPr>
            <w:tcW w:w="4418" w:type="dxa"/>
            <w:vAlign w:val="center"/>
          </w:tcPr>
          <w:p w14:paraId="04B771D6" w14:textId="77777777" w:rsidR="00EF1D77" w:rsidRPr="00E24C3D" w:rsidRDefault="00EF1D77" w:rsidP="00656AF0">
            <w:pPr>
              <w:pStyle w:val="Table1"/>
              <w:jc w:val="left"/>
              <w:cnfStyle w:val="100000000000" w:firstRow="1" w:lastRow="0" w:firstColumn="0" w:lastColumn="0" w:oddVBand="0" w:evenVBand="0" w:oddHBand="0" w:evenHBand="0" w:firstRowFirstColumn="0" w:firstRowLastColumn="0" w:lastRowFirstColumn="0" w:lastRowLastColumn="0"/>
              <w:rPr>
                <w:lang w:val="en-US"/>
              </w:rPr>
            </w:pPr>
            <w:r w:rsidRPr="00E24C3D">
              <w:rPr>
                <w:lang w:val="en-US"/>
              </w:rPr>
              <w:t>Description</w:t>
            </w:r>
          </w:p>
        </w:tc>
        <w:tc>
          <w:tcPr>
            <w:tcW w:w="3402" w:type="dxa"/>
            <w:vAlign w:val="center"/>
          </w:tcPr>
          <w:p w14:paraId="0C96DD50" w14:textId="77777777" w:rsidR="00EF1D77" w:rsidRPr="00E24C3D" w:rsidRDefault="00EF1D77" w:rsidP="00656AF0">
            <w:pPr>
              <w:pStyle w:val="Table1"/>
              <w:jc w:val="left"/>
              <w:cnfStyle w:val="100000000000" w:firstRow="1" w:lastRow="0" w:firstColumn="0" w:lastColumn="0" w:oddVBand="0" w:evenVBand="0" w:oddHBand="0" w:evenHBand="0" w:firstRowFirstColumn="0" w:firstRowLastColumn="0" w:lastRowFirstColumn="0" w:lastRowLastColumn="0"/>
              <w:rPr>
                <w:lang w:val="en-US"/>
              </w:rPr>
            </w:pPr>
            <w:r>
              <w:rPr>
                <w:lang w:val="en-US"/>
              </w:rPr>
              <w:t>Meet LOLE Target?</w:t>
            </w:r>
          </w:p>
        </w:tc>
      </w:tr>
      <w:tr w:rsidR="00EF1D77" w:rsidRPr="0089011E" w14:paraId="0E06F908" w14:textId="77777777" w:rsidTr="0065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6" w:type="dxa"/>
            <w:gridSpan w:val="2"/>
          </w:tcPr>
          <w:p w14:paraId="41F02AA9" w14:textId="77777777" w:rsidR="00EF1D77" w:rsidRPr="0089011E" w:rsidRDefault="00EF1D77" w:rsidP="00656AF0">
            <w:pPr>
              <w:pStyle w:val="Table1"/>
              <w:jc w:val="left"/>
              <w:rPr>
                <w:lang w:val="en-US"/>
              </w:rPr>
            </w:pPr>
            <w:r>
              <w:rPr>
                <w:lang w:val="en-US"/>
              </w:rPr>
              <w:t>Base</w:t>
            </w:r>
          </w:p>
        </w:tc>
        <w:tc>
          <w:tcPr>
            <w:tcW w:w="3402" w:type="dxa"/>
          </w:tcPr>
          <w:p w14:paraId="35A174B4"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p>
        </w:tc>
      </w:tr>
      <w:tr w:rsidR="00EF1D77" w:rsidRPr="0089011E" w14:paraId="0D7113BA" w14:textId="77777777" w:rsidTr="00656AF0">
        <w:tc>
          <w:tcPr>
            <w:cnfStyle w:val="001000000000" w:firstRow="0" w:lastRow="0" w:firstColumn="1" w:lastColumn="0" w:oddVBand="0" w:evenVBand="0" w:oddHBand="0" w:evenHBand="0" w:firstRowFirstColumn="0" w:firstRowLastColumn="0" w:lastRowFirstColumn="0" w:lastRowLastColumn="0"/>
            <w:tcW w:w="1418" w:type="dxa"/>
          </w:tcPr>
          <w:p w14:paraId="3C8C6101" w14:textId="77777777" w:rsidR="00EF1D77" w:rsidRPr="00DC537D" w:rsidRDefault="00EF1D77" w:rsidP="00656AF0">
            <w:pPr>
              <w:pStyle w:val="Table1"/>
              <w:rPr>
                <w:b w:val="0"/>
              </w:rPr>
            </w:pPr>
            <w:r w:rsidRPr="00931572">
              <w:t>Case 0</w:t>
            </w:r>
          </w:p>
        </w:tc>
        <w:tc>
          <w:tcPr>
            <w:tcW w:w="4418" w:type="dxa"/>
          </w:tcPr>
          <w:p w14:paraId="70722692" w14:textId="77777777" w:rsidR="00EF1D77" w:rsidRPr="0089011E"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r>
              <w:rPr>
                <w:lang w:val="en-US"/>
              </w:rPr>
              <w:t>Expected operating environment</w:t>
            </w:r>
          </w:p>
        </w:tc>
        <w:tc>
          <w:tcPr>
            <w:tcW w:w="3402" w:type="dxa"/>
          </w:tcPr>
          <w:p w14:paraId="663EAC9E" w14:textId="77777777" w:rsidR="00EF1D77"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r>
      <w:tr w:rsidR="00EF1D77" w:rsidRPr="0089011E" w14:paraId="40C5E067" w14:textId="77777777" w:rsidTr="0065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6" w:type="dxa"/>
            <w:gridSpan w:val="2"/>
          </w:tcPr>
          <w:p w14:paraId="460E7061" w14:textId="77777777" w:rsidR="00EF1D77" w:rsidRPr="0089011E" w:rsidRDefault="00EF1D77" w:rsidP="00656AF0">
            <w:pPr>
              <w:pStyle w:val="Table1"/>
              <w:jc w:val="left"/>
              <w:rPr>
                <w:lang w:val="en-US"/>
              </w:rPr>
            </w:pPr>
            <w:bookmarkStart w:id="111" w:name="OLE_LINK1"/>
            <w:r w:rsidRPr="0089011E">
              <w:rPr>
                <w:lang w:val="en-US"/>
              </w:rPr>
              <w:t>Load Sensitivity Analysis</w:t>
            </w:r>
            <w:bookmarkEnd w:id="111"/>
          </w:p>
        </w:tc>
        <w:tc>
          <w:tcPr>
            <w:tcW w:w="3402" w:type="dxa"/>
          </w:tcPr>
          <w:p w14:paraId="32FA20B7" w14:textId="77777777" w:rsidR="00EF1D77"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p>
        </w:tc>
      </w:tr>
      <w:tr w:rsidR="00EF1D77" w:rsidRPr="0089011E" w14:paraId="392DF67F" w14:textId="77777777" w:rsidTr="00656AF0">
        <w:tc>
          <w:tcPr>
            <w:cnfStyle w:val="001000000000" w:firstRow="0" w:lastRow="0" w:firstColumn="1" w:lastColumn="0" w:oddVBand="0" w:evenVBand="0" w:oddHBand="0" w:evenHBand="0" w:firstRowFirstColumn="0" w:firstRowLastColumn="0" w:lastRowFirstColumn="0" w:lastRowLastColumn="0"/>
            <w:tcW w:w="1418" w:type="dxa"/>
          </w:tcPr>
          <w:p w14:paraId="023E93AF" w14:textId="77777777" w:rsidR="00EF1D77" w:rsidRPr="0089011E" w:rsidRDefault="00EF1D77" w:rsidP="00656AF0">
            <w:pPr>
              <w:pStyle w:val="Table1"/>
              <w:rPr>
                <w:rFonts w:cs="Arial"/>
                <w:b w:val="0"/>
                <w:sz w:val="20"/>
                <w:szCs w:val="20"/>
                <w:lang w:val="en-US"/>
              </w:rPr>
            </w:pPr>
            <w:r>
              <w:t>Case 1</w:t>
            </w:r>
          </w:p>
        </w:tc>
        <w:tc>
          <w:tcPr>
            <w:tcW w:w="4418" w:type="dxa"/>
          </w:tcPr>
          <w:p w14:paraId="35B43FE5" w14:textId="77777777" w:rsidR="00EF1D77" w:rsidRPr="0089011E"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r w:rsidRPr="0089011E">
              <w:rPr>
                <w:lang w:val="en-US"/>
              </w:rPr>
              <w:t>1-in-10 economic drivers</w:t>
            </w:r>
          </w:p>
        </w:tc>
        <w:tc>
          <w:tcPr>
            <w:tcW w:w="3402" w:type="dxa"/>
          </w:tcPr>
          <w:p w14:paraId="5F040B2F" w14:textId="77777777" w:rsidR="00EF1D77" w:rsidRPr="0089011E"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r>
      <w:tr w:rsidR="00EF1D77" w:rsidRPr="0089011E" w14:paraId="138F2A40" w14:textId="77777777" w:rsidTr="0065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3356399C" w14:textId="77777777" w:rsidR="00EF1D77" w:rsidRPr="0089011E" w:rsidRDefault="00EF1D77" w:rsidP="00656AF0">
            <w:pPr>
              <w:pStyle w:val="Table1"/>
              <w:rPr>
                <w:rFonts w:cs="Arial"/>
                <w:b w:val="0"/>
                <w:sz w:val="20"/>
                <w:szCs w:val="20"/>
                <w:lang w:val="en-US"/>
              </w:rPr>
            </w:pPr>
            <w:r>
              <w:t>Case 2</w:t>
            </w:r>
          </w:p>
        </w:tc>
        <w:tc>
          <w:tcPr>
            <w:tcW w:w="4418" w:type="dxa"/>
          </w:tcPr>
          <w:p w14:paraId="0DECD67D"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r w:rsidRPr="0089011E">
              <w:rPr>
                <w:lang w:val="en-US"/>
              </w:rPr>
              <w:t>Industrial self-generating demand of 40MW</w:t>
            </w:r>
          </w:p>
        </w:tc>
        <w:tc>
          <w:tcPr>
            <w:tcW w:w="3402" w:type="dxa"/>
          </w:tcPr>
          <w:p w14:paraId="51ED3175"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r>
      <w:tr w:rsidR="00EF1D77" w:rsidRPr="0089011E" w14:paraId="48900852" w14:textId="77777777" w:rsidTr="00656AF0">
        <w:tc>
          <w:tcPr>
            <w:cnfStyle w:val="001000000000" w:firstRow="0" w:lastRow="0" w:firstColumn="1" w:lastColumn="0" w:oddVBand="0" w:evenVBand="0" w:oddHBand="0" w:evenHBand="0" w:firstRowFirstColumn="0" w:firstRowLastColumn="0" w:lastRowFirstColumn="0" w:lastRowLastColumn="0"/>
            <w:tcW w:w="1418" w:type="dxa"/>
          </w:tcPr>
          <w:p w14:paraId="76549D6F" w14:textId="77777777" w:rsidR="00EF1D77" w:rsidRPr="0089011E" w:rsidRDefault="00EF1D77" w:rsidP="00656AF0">
            <w:pPr>
              <w:pStyle w:val="Table1"/>
              <w:rPr>
                <w:rFonts w:cs="Arial"/>
                <w:b w:val="0"/>
                <w:sz w:val="20"/>
                <w:szCs w:val="20"/>
                <w:lang w:val="en-US"/>
              </w:rPr>
            </w:pPr>
            <w:r>
              <w:t>Case 3</w:t>
            </w:r>
          </w:p>
        </w:tc>
        <w:tc>
          <w:tcPr>
            <w:tcW w:w="4418" w:type="dxa"/>
          </w:tcPr>
          <w:p w14:paraId="27289068" w14:textId="77777777" w:rsidR="00EF1D77" w:rsidRPr="0089011E"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r w:rsidRPr="0089011E">
              <w:rPr>
                <w:lang w:val="en-US"/>
              </w:rPr>
              <w:t>Time of seasonal peaks</w:t>
            </w:r>
          </w:p>
        </w:tc>
        <w:tc>
          <w:tcPr>
            <w:tcW w:w="3402" w:type="dxa"/>
          </w:tcPr>
          <w:p w14:paraId="5A389A9B" w14:textId="77777777" w:rsidR="00EF1D77" w:rsidRPr="0089011E"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r>
      <w:tr w:rsidR="00EF1D77" w:rsidRPr="0089011E" w14:paraId="5B029941" w14:textId="77777777" w:rsidTr="0065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836" w:type="dxa"/>
            <w:gridSpan w:val="2"/>
          </w:tcPr>
          <w:p w14:paraId="56A2026A" w14:textId="77777777" w:rsidR="00EF1D77" w:rsidRPr="0089011E" w:rsidRDefault="00EF1D77" w:rsidP="00656AF0">
            <w:pPr>
              <w:pStyle w:val="Table1"/>
              <w:jc w:val="left"/>
              <w:rPr>
                <w:lang w:val="en-US"/>
              </w:rPr>
            </w:pPr>
            <w:bookmarkStart w:id="112" w:name="OLE_LINK2"/>
            <w:r w:rsidRPr="0089011E">
              <w:rPr>
                <w:lang w:val="en-US"/>
              </w:rPr>
              <w:t>Resource Sensitivity Analysis</w:t>
            </w:r>
            <w:bookmarkEnd w:id="112"/>
          </w:p>
        </w:tc>
        <w:tc>
          <w:tcPr>
            <w:tcW w:w="3402" w:type="dxa"/>
          </w:tcPr>
          <w:p w14:paraId="20439046"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p>
        </w:tc>
      </w:tr>
      <w:tr w:rsidR="00EF1D77" w:rsidRPr="0089011E" w14:paraId="2A6E4F08" w14:textId="77777777" w:rsidTr="00656AF0">
        <w:tc>
          <w:tcPr>
            <w:cnfStyle w:val="001000000000" w:firstRow="0" w:lastRow="0" w:firstColumn="1" w:lastColumn="0" w:oddVBand="0" w:evenVBand="0" w:oddHBand="0" w:evenHBand="0" w:firstRowFirstColumn="0" w:firstRowLastColumn="0" w:lastRowFirstColumn="0" w:lastRowLastColumn="0"/>
            <w:tcW w:w="1418" w:type="dxa"/>
          </w:tcPr>
          <w:p w14:paraId="0DBE4BED" w14:textId="400DFD4E" w:rsidR="00EF1D77" w:rsidRPr="0089011E" w:rsidRDefault="00EF1D77">
            <w:pPr>
              <w:pStyle w:val="Table1"/>
              <w:rPr>
                <w:rFonts w:cs="Arial"/>
                <w:b w:val="0"/>
                <w:sz w:val="20"/>
                <w:szCs w:val="20"/>
                <w:lang w:val="en-US"/>
              </w:rPr>
            </w:pPr>
            <w:r>
              <w:t xml:space="preserve">Case </w:t>
            </w:r>
            <w:r w:rsidR="005F2651">
              <w:t>4</w:t>
            </w:r>
          </w:p>
        </w:tc>
        <w:tc>
          <w:tcPr>
            <w:tcW w:w="4418" w:type="dxa"/>
          </w:tcPr>
          <w:p w14:paraId="5873797F" w14:textId="77777777" w:rsidR="00EF1D77" w:rsidRPr="0089011E"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r w:rsidRPr="0089011E">
              <w:rPr>
                <w:lang w:val="en-US"/>
              </w:rPr>
              <w:t>WAX FORs</w:t>
            </w:r>
          </w:p>
        </w:tc>
        <w:tc>
          <w:tcPr>
            <w:tcW w:w="3402" w:type="dxa"/>
          </w:tcPr>
          <w:p w14:paraId="6108D207" w14:textId="77777777" w:rsidR="00EF1D77" w:rsidRPr="0089011E"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r>
      <w:tr w:rsidR="00EF1D77" w:rsidRPr="0089011E" w14:paraId="1DF952A1" w14:textId="77777777" w:rsidTr="0065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4DA9C61" w14:textId="73BB7DF6" w:rsidR="00EF1D77" w:rsidRPr="0089011E" w:rsidRDefault="00EF1D77">
            <w:pPr>
              <w:pStyle w:val="Table1"/>
              <w:rPr>
                <w:rFonts w:cs="Arial"/>
                <w:b w:val="0"/>
                <w:sz w:val="20"/>
                <w:szCs w:val="20"/>
                <w:lang w:val="en-US"/>
              </w:rPr>
            </w:pPr>
            <w:r>
              <w:t xml:space="preserve">Case </w:t>
            </w:r>
            <w:r w:rsidR="005F2651">
              <w:t>5</w:t>
            </w:r>
          </w:p>
        </w:tc>
        <w:tc>
          <w:tcPr>
            <w:tcW w:w="4418" w:type="dxa"/>
          </w:tcPr>
          <w:p w14:paraId="31AE111A"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r w:rsidRPr="0089011E">
              <w:rPr>
                <w:lang w:val="en-US"/>
              </w:rPr>
              <w:t xml:space="preserve">Double FORs </w:t>
            </w:r>
          </w:p>
        </w:tc>
        <w:tc>
          <w:tcPr>
            <w:tcW w:w="3402" w:type="dxa"/>
          </w:tcPr>
          <w:p w14:paraId="7DD2E071"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r>
      <w:tr w:rsidR="00EF1D77" w:rsidRPr="0089011E" w14:paraId="32A710D6" w14:textId="77777777" w:rsidTr="00656AF0">
        <w:tc>
          <w:tcPr>
            <w:cnfStyle w:val="001000000000" w:firstRow="0" w:lastRow="0" w:firstColumn="1" w:lastColumn="0" w:oddVBand="0" w:evenVBand="0" w:oddHBand="0" w:evenHBand="0" w:firstRowFirstColumn="0" w:firstRowLastColumn="0" w:lastRowFirstColumn="0" w:lastRowLastColumn="0"/>
            <w:tcW w:w="1418" w:type="dxa"/>
          </w:tcPr>
          <w:p w14:paraId="00E39C78" w14:textId="7ADC4465" w:rsidR="00EF1D77" w:rsidRPr="0089011E" w:rsidRDefault="00EF1D77">
            <w:pPr>
              <w:pStyle w:val="Table1"/>
              <w:rPr>
                <w:rFonts w:cs="Arial"/>
                <w:b w:val="0"/>
                <w:sz w:val="20"/>
                <w:szCs w:val="20"/>
                <w:lang w:val="en-US"/>
              </w:rPr>
            </w:pPr>
            <w:r>
              <w:t xml:space="preserve">Case </w:t>
            </w:r>
            <w:r w:rsidR="005F2651">
              <w:t>6</w:t>
            </w:r>
          </w:p>
        </w:tc>
        <w:tc>
          <w:tcPr>
            <w:tcW w:w="4418" w:type="dxa"/>
          </w:tcPr>
          <w:p w14:paraId="36F660FD" w14:textId="77777777" w:rsidR="00EF1D77" w:rsidRPr="0089011E"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r w:rsidRPr="0089011E">
              <w:rPr>
                <w:lang w:val="en-US"/>
              </w:rPr>
              <w:t>Firming up additional WAX surplus sales</w:t>
            </w:r>
          </w:p>
        </w:tc>
        <w:tc>
          <w:tcPr>
            <w:tcW w:w="3402" w:type="dxa"/>
          </w:tcPr>
          <w:p w14:paraId="24F3A8FF" w14:textId="77777777" w:rsidR="00EF1D77" w:rsidRPr="0089011E"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r>
              <w:rPr>
                <w:lang w:val="en-US"/>
              </w:rPr>
              <w:t>Yes</w:t>
            </w:r>
          </w:p>
        </w:tc>
      </w:tr>
      <w:tr w:rsidR="00EF1D77" w:rsidRPr="0089011E" w14:paraId="4DC290A9" w14:textId="77777777" w:rsidTr="0065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4E3D9F2F" w14:textId="6F38C49C" w:rsidR="00EF1D77" w:rsidRPr="0089011E" w:rsidRDefault="00EF1D77">
            <w:pPr>
              <w:pStyle w:val="Table1"/>
              <w:rPr>
                <w:rFonts w:cs="Arial"/>
                <w:sz w:val="20"/>
                <w:szCs w:val="20"/>
                <w:lang w:val="en-US"/>
              </w:rPr>
            </w:pPr>
            <w:r>
              <w:t xml:space="preserve">Case </w:t>
            </w:r>
            <w:r w:rsidR="005F2651">
              <w:t>7</w:t>
            </w:r>
          </w:p>
        </w:tc>
        <w:tc>
          <w:tcPr>
            <w:tcW w:w="4418" w:type="dxa"/>
          </w:tcPr>
          <w:p w14:paraId="2D10A5D1"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r w:rsidRPr="0089011E">
              <w:rPr>
                <w:lang w:val="en-US"/>
              </w:rPr>
              <w:t>No additional capacity for gaps</w:t>
            </w:r>
          </w:p>
        </w:tc>
        <w:tc>
          <w:tcPr>
            <w:tcW w:w="3402" w:type="dxa"/>
          </w:tcPr>
          <w:p w14:paraId="72B6114C"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r>
              <w:rPr>
                <w:lang w:val="en-US"/>
              </w:rPr>
              <w:t>No</w:t>
            </w:r>
            <w:r w:rsidRPr="0089011E" w:rsidDel="001D0CDA">
              <w:rPr>
                <w:lang w:val="en-US"/>
              </w:rPr>
              <w:t xml:space="preserve"> </w:t>
            </w:r>
            <w:r>
              <w:rPr>
                <w:lang w:val="en-US"/>
              </w:rPr>
              <w:t>(expected gaps must be met)</w:t>
            </w:r>
          </w:p>
        </w:tc>
      </w:tr>
      <w:tr w:rsidR="00EF1D77" w:rsidRPr="0089011E" w14:paraId="5F3A5925" w14:textId="77777777" w:rsidTr="00656AF0">
        <w:tc>
          <w:tcPr>
            <w:cnfStyle w:val="001000000000" w:firstRow="0" w:lastRow="0" w:firstColumn="1" w:lastColumn="0" w:oddVBand="0" w:evenVBand="0" w:oddHBand="0" w:evenHBand="0" w:firstRowFirstColumn="0" w:firstRowLastColumn="0" w:lastRowFirstColumn="0" w:lastRowLastColumn="0"/>
            <w:tcW w:w="5836" w:type="dxa"/>
            <w:gridSpan w:val="2"/>
          </w:tcPr>
          <w:p w14:paraId="3C348D92" w14:textId="77777777" w:rsidR="00EF1D77" w:rsidRPr="0089011E" w:rsidRDefault="00EF1D77" w:rsidP="00656AF0">
            <w:pPr>
              <w:pStyle w:val="Table1"/>
              <w:jc w:val="left"/>
              <w:rPr>
                <w:lang w:val="en-US"/>
              </w:rPr>
            </w:pPr>
            <w:r w:rsidRPr="0089011E">
              <w:rPr>
                <w:lang w:val="en-US"/>
              </w:rPr>
              <w:t>Market Sensitivity Analysis</w:t>
            </w:r>
          </w:p>
        </w:tc>
        <w:tc>
          <w:tcPr>
            <w:tcW w:w="3402" w:type="dxa"/>
          </w:tcPr>
          <w:p w14:paraId="4727DC47" w14:textId="77777777" w:rsidR="00EF1D77" w:rsidRPr="0089011E"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p>
        </w:tc>
      </w:tr>
      <w:tr w:rsidR="00EF1D77" w:rsidRPr="0089011E" w14:paraId="628BA4C6" w14:textId="77777777" w:rsidTr="0065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5C7AD9F9" w14:textId="6FDB807E" w:rsidR="00EF1D77" w:rsidRPr="0089011E" w:rsidRDefault="00EF1D77">
            <w:pPr>
              <w:pStyle w:val="Table1"/>
              <w:rPr>
                <w:rFonts w:cs="Arial"/>
                <w:b w:val="0"/>
                <w:sz w:val="20"/>
                <w:szCs w:val="20"/>
                <w:lang w:val="en-US"/>
              </w:rPr>
            </w:pPr>
            <w:r>
              <w:t xml:space="preserve">Case </w:t>
            </w:r>
            <w:r w:rsidR="005F2651">
              <w:t>8</w:t>
            </w:r>
          </w:p>
        </w:tc>
        <w:tc>
          <w:tcPr>
            <w:tcW w:w="4418" w:type="dxa"/>
          </w:tcPr>
          <w:p w14:paraId="7009171F"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r w:rsidRPr="0089011E">
              <w:rPr>
                <w:lang w:val="en-US"/>
              </w:rPr>
              <w:t>Market sizes at the base case FOR</w:t>
            </w:r>
          </w:p>
        </w:tc>
        <w:tc>
          <w:tcPr>
            <w:tcW w:w="3402" w:type="dxa"/>
          </w:tcPr>
          <w:p w14:paraId="27C8EF28"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r>
      <w:tr w:rsidR="00EF1D77" w:rsidRPr="0089011E" w14:paraId="026467CA" w14:textId="77777777" w:rsidTr="00656AF0">
        <w:tc>
          <w:tcPr>
            <w:cnfStyle w:val="001000000000" w:firstRow="0" w:lastRow="0" w:firstColumn="1" w:lastColumn="0" w:oddVBand="0" w:evenVBand="0" w:oddHBand="0" w:evenHBand="0" w:firstRowFirstColumn="0" w:firstRowLastColumn="0" w:lastRowFirstColumn="0" w:lastRowLastColumn="0"/>
            <w:tcW w:w="1418" w:type="dxa"/>
          </w:tcPr>
          <w:p w14:paraId="223D3891" w14:textId="52DD4A4C" w:rsidR="00EF1D77" w:rsidRPr="0089011E" w:rsidRDefault="00EF1D77">
            <w:pPr>
              <w:pStyle w:val="Table1"/>
              <w:rPr>
                <w:rFonts w:cs="Arial"/>
                <w:b w:val="0"/>
                <w:sz w:val="20"/>
                <w:szCs w:val="20"/>
                <w:lang w:val="en-US"/>
              </w:rPr>
            </w:pPr>
            <w:r>
              <w:t xml:space="preserve">Case </w:t>
            </w:r>
            <w:r w:rsidR="005F2651">
              <w:t>9</w:t>
            </w:r>
          </w:p>
        </w:tc>
        <w:tc>
          <w:tcPr>
            <w:tcW w:w="4418" w:type="dxa"/>
          </w:tcPr>
          <w:p w14:paraId="21AFD716" w14:textId="77777777" w:rsidR="00EF1D77" w:rsidRPr="0089011E"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r w:rsidRPr="0089011E">
              <w:rPr>
                <w:lang w:val="en-US"/>
              </w:rPr>
              <w:t>No market access</w:t>
            </w:r>
          </w:p>
        </w:tc>
        <w:tc>
          <w:tcPr>
            <w:tcW w:w="3402" w:type="dxa"/>
          </w:tcPr>
          <w:p w14:paraId="71DB3A9C" w14:textId="77777777" w:rsidR="00EF1D77" w:rsidRPr="0089011E" w:rsidRDefault="00EF1D77" w:rsidP="00656AF0">
            <w:pPr>
              <w:pStyle w:val="Table1"/>
              <w:jc w:val="left"/>
              <w:cnfStyle w:val="000000000000" w:firstRow="0" w:lastRow="0" w:firstColumn="0" w:lastColumn="0" w:oddVBand="0" w:evenVBand="0" w:oddHBand="0" w:evenHBand="0" w:firstRowFirstColumn="0" w:firstRowLastColumn="0" w:lastRowFirstColumn="0" w:lastRowLastColumn="0"/>
              <w:rPr>
                <w:lang w:val="en-US"/>
              </w:rPr>
            </w:pPr>
            <w:r>
              <w:rPr>
                <w:lang w:val="en-US"/>
              </w:rPr>
              <w:t>No  (alternative capacity is needed)</w:t>
            </w:r>
          </w:p>
        </w:tc>
      </w:tr>
      <w:tr w:rsidR="00EF1D77" w:rsidRPr="0089011E" w14:paraId="7C507D75" w14:textId="77777777" w:rsidTr="00656A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14:paraId="60EE6043" w14:textId="0E782E70" w:rsidR="00EF1D77" w:rsidRPr="0089011E" w:rsidRDefault="00EF1D77">
            <w:pPr>
              <w:pStyle w:val="Table1"/>
              <w:rPr>
                <w:rFonts w:cs="Arial"/>
                <w:b w:val="0"/>
                <w:sz w:val="20"/>
                <w:szCs w:val="20"/>
                <w:lang w:val="en-US"/>
              </w:rPr>
            </w:pPr>
            <w:r>
              <w:lastRenderedPageBreak/>
              <w:t xml:space="preserve">Case </w:t>
            </w:r>
            <w:r w:rsidR="005F2651">
              <w:t>10</w:t>
            </w:r>
          </w:p>
        </w:tc>
        <w:tc>
          <w:tcPr>
            <w:tcW w:w="4418" w:type="dxa"/>
          </w:tcPr>
          <w:p w14:paraId="33EFC6CE"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r w:rsidRPr="0089011E">
              <w:rPr>
                <w:lang w:val="en-US"/>
              </w:rPr>
              <w:t>Market FORs at 150MW</w:t>
            </w:r>
          </w:p>
        </w:tc>
        <w:tc>
          <w:tcPr>
            <w:tcW w:w="3402" w:type="dxa"/>
          </w:tcPr>
          <w:p w14:paraId="10AA9CDD" w14:textId="77777777" w:rsidR="00EF1D77" w:rsidRPr="0089011E" w:rsidRDefault="00EF1D77" w:rsidP="00656AF0">
            <w:pPr>
              <w:pStyle w:val="Table1"/>
              <w:jc w:val="left"/>
              <w:cnfStyle w:val="000000100000" w:firstRow="0" w:lastRow="0" w:firstColumn="0" w:lastColumn="0" w:oddVBand="0" w:evenVBand="0" w:oddHBand="1" w:evenHBand="0" w:firstRowFirstColumn="0" w:firstRowLastColumn="0" w:lastRowFirstColumn="0" w:lastRowLastColumn="0"/>
              <w:rPr>
                <w:lang w:val="en-US"/>
              </w:rPr>
            </w:pPr>
            <w:r>
              <w:rPr>
                <w:lang w:val="en-US"/>
              </w:rPr>
              <w:t>Yes</w:t>
            </w:r>
          </w:p>
        </w:tc>
      </w:tr>
    </w:tbl>
    <w:p w14:paraId="36E9F408" w14:textId="77777777" w:rsidR="00EF1D77" w:rsidRDefault="00EF1D77" w:rsidP="00EF1D77"/>
    <w:p w14:paraId="648D8756" w14:textId="37FB639D" w:rsidR="00EF1D77" w:rsidRDefault="00EF1D77" w:rsidP="00EF1D77">
      <w:r>
        <w:t xml:space="preserve">Further investigation showed that at the assumed transmission forced outage rate (FOR) of 0.74%, 75 MW of market access was enough to ensure the LOLE target. On the other hand, the transmission FOR could be </w:t>
      </w:r>
      <w:r w:rsidR="005B486E">
        <w:t>as high as</w:t>
      </w:r>
      <w:r>
        <w:t xml:space="preserve"> 5% if the market access size was kept at </w:t>
      </w:r>
      <w:r w:rsidR="005B486E">
        <w:t xml:space="preserve">the available </w:t>
      </w:r>
      <w:r>
        <w:t>150 MW. If market import</w:t>
      </w:r>
      <w:r w:rsidR="005B486E">
        <w:t>s</w:t>
      </w:r>
      <w:r>
        <w:t xml:space="preserve"> w</w:t>
      </w:r>
      <w:r w:rsidR="005B486E">
        <w:t>ere</w:t>
      </w:r>
      <w:r>
        <w:t xml:space="preserve"> replaced by another alternative resource at FOR 5%, this resource would need to be 100 MW until 2020 and 150 MW after that. The studies also </w:t>
      </w:r>
      <w:r w:rsidR="005B486E">
        <w:t>demonstrated</w:t>
      </w:r>
      <w:r>
        <w:t xml:space="preserve"> the importance of acquiring dedicated capacity to meet expected gaps since dependence on market import</w:t>
      </w:r>
      <w:r w:rsidR="005B486E">
        <w:t>s</w:t>
      </w:r>
      <w:r>
        <w:t xml:space="preserve"> to meet these gaps would fail to meet the LOLE target</w:t>
      </w:r>
      <w:r w:rsidR="00964C84">
        <w:t>.</w:t>
      </w:r>
    </w:p>
    <w:p w14:paraId="248DE634" w14:textId="339A3696" w:rsidR="00EF1D77" w:rsidRDefault="00EF1D77" w:rsidP="00EF1D77">
      <w:r>
        <w:t xml:space="preserve">The resultant PRM </w:t>
      </w:r>
      <w:r w:rsidR="00275E36">
        <w:t xml:space="preserve">percentage </w:t>
      </w:r>
      <w:r w:rsidR="00E20AB2">
        <w:t xml:space="preserve">value </w:t>
      </w:r>
      <w:r>
        <w:t xml:space="preserve">was calculated on a monthly basis for each year, and the table below </w:t>
      </w:r>
      <w:r w:rsidR="0080376C">
        <w:t xml:space="preserve">summarizes for each case </w:t>
      </w:r>
      <w:r>
        <w:t xml:space="preserve">the PRM values (including Operating Reserves) </w:t>
      </w:r>
      <w:r w:rsidR="00E20AB2">
        <w:t xml:space="preserve">for </w:t>
      </w:r>
      <w:r>
        <w:t xml:space="preserve">selected years </w:t>
      </w:r>
      <w:r w:rsidR="00E20AB2">
        <w:t xml:space="preserve">in December, </w:t>
      </w:r>
      <w:r>
        <w:t>whe</w:t>
      </w:r>
      <w:r w:rsidR="00E20AB2">
        <w:t>n</w:t>
      </w:r>
      <w:r>
        <w:t xml:space="preserve"> the winter peak was assumed to occur. Note that these values include the market import</w:t>
      </w:r>
      <w:r w:rsidR="00E20AB2">
        <w:t>,</w:t>
      </w:r>
      <w:r>
        <w:t xml:space="preserve"> if applicable.</w:t>
      </w:r>
    </w:p>
    <w:tbl>
      <w:tblPr>
        <w:tblStyle w:val="LightList-Accent11"/>
        <w:tblW w:w="5608" w:type="pct"/>
        <w:tblLook w:val="04A0" w:firstRow="1" w:lastRow="0" w:firstColumn="1" w:lastColumn="0" w:noHBand="0" w:noVBand="1"/>
      </w:tblPr>
      <w:tblGrid>
        <w:gridCol w:w="1669"/>
        <w:gridCol w:w="707"/>
        <w:gridCol w:w="958"/>
        <w:gridCol w:w="958"/>
        <w:gridCol w:w="958"/>
        <w:gridCol w:w="958"/>
        <w:gridCol w:w="958"/>
        <w:gridCol w:w="958"/>
        <w:gridCol w:w="958"/>
        <w:gridCol w:w="958"/>
        <w:gridCol w:w="700"/>
      </w:tblGrid>
      <w:tr w:rsidR="00430C2F" w14:paraId="229C57A2" w14:textId="77777777" w:rsidTr="00684E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72C52B4F" w14:textId="77777777" w:rsidR="00430C2F" w:rsidRDefault="00430C2F" w:rsidP="00656AF0">
            <w:pPr>
              <w:pStyle w:val="Table1"/>
            </w:pPr>
          </w:p>
        </w:tc>
        <w:tc>
          <w:tcPr>
            <w:tcW w:w="329" w:type="pct"/>
          </w:tcPr>
          <w:p w14:paraId="5B3ACFF9" w14:textId="5344B79E" w:rsidR="00430C2F" w:rsidRPr="00552584" w:rsidRDefault="00430C2F">
            <w:pPr>
              <w:pStyle w:val="Table1"/>
              <w:cnfStyle w:val="100000000000" w:firstRow="1" w:lastRow="0" w:firstColumn="0" w:lastColumn="0" w:oddVBand="0" w:evenVBand="0" w:oddHBand="0" w:evenHBand="0" w:firstRowFirstColumn="0" w:firstRowLastColumn="0" w:lastRowFirstColumn="0" w:lastRowLastColumn="0"/>
            </w:pPr>
            <w:r w:rsidRPr="00552584">
              <w:t>201</w:t>
            </w:r>
            <w:r>
              <w:t>4</w:t>
            </w:r>
          </w:p>
        </w:tc>
        <w:tc>
          <w:tcPr>
            <w:tcW w:w="446" w:type="pct"/>
          </w:tcPr>
          <w:p w14:paraId="111B6E69" w14:textId="79EADDD1" w:rsidR="00430C2F"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552584">
              <w:t>2015</w:t>
            </w:r>
          </w:p>
        </w:tc>
        <w:tc>
          <w:tcPr>
            <w:tcW w:w="446" w:type="pct"/>
          </w:tcPr>
          <w:p w14:paraId="64677D98" w14:textId="77777777" w:rsidR="00430C2F"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552584">
              <w:t>2016</w:t>
            </w:r>
          </w:p>
        </w:tc>
        <w:tc>
          <w:tcPr>
            <w:tcW w:w="446" w:type="pct"/>
          </w:tcPr>
          <w:p w14:paraId="714A2D0C" w14:textId="77777777" w:rsidR="00430C2F"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552584">
              <w:t>2017</w:t>
            </w:r>
          </w:p>
        </w:tc>
        <w:tc>
          <w:tcPr>
            <w:tcW w:w="446" w:type="pct"/>
          </w:tcPr>
          <w:p w14:paraId="45AF16BA" w14:textId="77777777" w:rsidR="00430C2F"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552584">
              <w:t>2018</w:t>
            </w:r>
          </w:p>
        </w:tc>
        <w:tc>
          <w:tcPr>
            <w:tcW w:w="446" w:type="pct"/>
          </w:tcPr>
          <w:p w14:paraId="6907B0AA" w14:textId="77777777" w:rsidR="00430C2F"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552584">
              <w:t>2019</w:t>
            </w:r>
          </w:p>
        </w:tc>
        <w:tc>
          <w:tcPr>
            <w:tcW w:w="446" w:type="pct"/>
          </w:tcPr>
          <w:p w14:paraId="67115474" w14:textId="77777777" w:rsidR="00430C2F"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552584">
              <w:t>2020</w:t>
            </w:r>
          </w:p>
        </w:tc>
        <w:tc>
          <w:tcPr>
            <w:tcW w:w="446" w:type="pct"/>
          </w:tcPr>
          <w:p w14:paraId="1EE1D928" w14:textId="77777777" w:rsidR="00430C2F"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552584">
              <w:t>2025</w:t>
            </w:r>
          </w:p>
        </w:tc>
        <w:tc>
          <w:tcPr>
            <w:tcW w:w="446" w:type="pct"/>
          </w:tcPr>
          <w:p w14:paraId="5954A667" w14:textId="77777777" w:rsidR="00430C2F"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552584">
              <w:t>2030</w:t>
            </w:r>
          </w:p>
        </w:tc>
        <w:tc>
          <w:tcPr>
            <w:tcW w:w="326" w:type="pct"/>
          </w:tcPr>
          <w:p w14:paraId="1F809337" w14:textId="77777777" w:rsidR="00430C2F" w:rsidRDefault="00430C2F" w:rsidP="00656AF0">
            <w:pPr>
              <w:pStyle w:val="Table1"/>
              <w:cnfStyle w:val="100000000000" w:firstRow="1" w:lastRow="0" w:firstColumn="0" w:lastColumn="0" w:oddVBand="0" w:evenVBand="0" w:oddHBand="0" w:evenHBand="0" w:firstRowFirstColumn="0" w:firstRowLastColumn="0" w:lastRowFirstColumn="0" w:lastRowLastColumn="0"/>
            </w:pPr>
            <w:r w:rsidRPr="00552584">
              <w:t>2033</w:t>
            </w:r>
          </w:p>
        </w:tc>
      </w:tr>
      <w:tr w:rsidR="005F2651" w14:paraId="48A25811" w14:textId="77777777" w:rsidTr="00684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62DAB399" w14:textId="77777777" w:rsidR="005F2651" w:rsidRDefault="005F2651" w:rsidP="00656AF0">
            <w:pPr>
              <w:pStyle w:val="Table1"/>
              <w:jc w:val="left"/>
            </w:pPr>
            <w:r w:rsidRPr="00552584">
              <w:t>Case 0</w:t>
            </w:r>
          </w:p>
        </w:tc>
        <w:tc>
          <w:tcPr>
            <w:tcW w:w="329" w:type="pct"/>
            <w:vAlign w:val="bottom"/>
          </w:tcPr>
          <w:p w14:paraId="6BBAFC36" w14:textId="21887A49" w:rsidR="005F2651" w:rsidRPr="00D03AB3" w:rsidRDefault="005F2651" w:rsidP="00656AF0">
            <w:pPr>
              <w:pStyle w:val="Table1"/>
              <w:cnfStyle w:val="000000100000" w:firstRow="0" w:lastRow="0" w:firstColumn="0" w:lastColumn="0" w:oddVBand="0" w:evenVBand="0" w:oddHBand="1" w:evenHBand="0" w:firstRowFirstColumn="0" w:firstRowLastColumn="0" w:lastRowFirstColumn="0" w:lastRowLastColumn="0"/>
            </w:pPr>
            <w:r>
              <w:rPr>
                <w:rFonts w:cs="Arial"/>
                <w:sz w:val="20"/>
                <w:szCs w:val="20"/>
              </w:rPr>
              <w:t>27%</w:t>
            </w:r>
          </w:p>
        </w:tc>
        <w:tc>
          <w:tcPr>
            <w:tcW w:w="446" w:type="pct"/>
          </w:tcPr>
          <w:p w14:paraId="7B28D4F0" w14:textId="0C16BEB6"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26%</w:t>
            </w:r>
          </w:p>
        </w:tc>
        <w:tc>
          <w:tcPr>
            <w:tcW w:w="446" w:type="pct"/>
          </w:tcPr>
          <w:p w14:paraId="687DEBA7"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26%</w:t>
            </w:r>
          </w:p>
        </w:tc>
        <w:tc>
          <w:tcPr>
            <w:tcW w:w="446" w:type="pct"/>
          </w:tcPr>
          <w:p w14:paraId="41C6583C"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26%</w:t>
            </w:r>
          </w:p>
        </w:tc>
        <w:tc>
          <w:tcPr>
            <w:tcW w:w="446" w:type="pct"/>
          </w:tcPr>
          <w:p w14:paraId="7133C538"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25%</w:t>
            </w:r>
          </w:p>
        </w:tc>
        <w:tc>
          <w:tcPr>
            <w:tcW w:w="446" w:type="pct"/>
          </w:tcPr>
          <w:p w14:paraId="6A21E3DC"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25%</w:t>
            </w:r>
          </w:p>
        </w:tc>
        <w:tc>
          <w:tcPr>
            <w:tcW w:w="446" w:type="pct"/>
          </w:tcPr>
          <w:p w14:paraId="312F6C21"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25%</w:t>
            </w:r>
          </w:p>
        </w:tc>
        <w:tc>
          <w:tcPr>
            <w:tcW w:w="446" w:type="pct"/>
          </w:tcPr>
          <w:p w14:paraId="0353F579"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24%</w:t>
            </w:r>
          </w:p>
        </w:tc>
        <w:tc>
          <w:tcPr>
            <w:tcW w:w="446" w:type="pct"/>
          </w:tcPr>
          <w:p w14:paraId="46FCE15F"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23%</w:t>
            </w:r>
          </w:p>
        </w:tc>
        <w:tc>
          <w:tcPr>
            <w:tcW w:w="326" w:type="pct"/>
          </w:tcPr>
          <w:p w14:paraId="6E5EDF1D"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23%</w:t>
            </w:r>
          </w:p>
        </w:tc>
      </w:tr>
      <w:tr w:rsidR="005F2651" w14:paraId="08B97E57" w14:textId="77777777" w:rsidTr="00684E33">
        <w:tc>
          <w:tcPr>
            <w:cnfStyle w:val="001000000000" w:firstRow="0" w:lastRow="0" w:firstColumn="1" w:lastColumn="0" w:oddVBand="0" w:evenVBand="0" w:oddHBand="0" w:evenHBand="0" w:firstRowFirstColumn="0" w:firstRowLastColumn="0" w:lastRowFirstColumn="0" w:lastRowLastColumn="0"/>
            <w:tcW w:w="777" w:type="pct"/>
          </w:tcPr>
          <w:p w14:paraId="171959D2" w14:textId="77777777" w:rsidR="005F2651" w:rsidRDefault="005F2651" w:rsidP="00656AF0">
            <w:pPr>
              <w:pStyle w:val="Table1"/>
              <w:jc w:val="left"/>
            </w:pPr>
            <w:r w:rsidRPr="00552584">
              <w:t>Case 1</w:t>
            </w:r>
          </w:p>
        </w:tc>
        <w:tc>
          <w:tcPr>
            <w:tcW w:w="329" w:type="pct"/>
            <w:vAlign w:val="bottom"/>
          </w:tcPr>
          <w:p w14:paraId="34EE3125" w14:textId="114EE826" w:rsidR="005F2651" w:rsidRPr="00D03AB3" w:rsidRDefault="005F2651" w:rsidP="00656AF0">
            <w:pPr>
              <w:pStyle w:val="Table1"/>
              <w:cnfStyle w:val="000000000000" w:firstRow="0" w:lastRow="0" w:firstColumn="0" w:lastColumn="0" w:oddVBand="0" w:evenVBand="0" w:oddHBand="0" w:evenHBand="0" w:firstRowFirstColumn="0" w:firstRowLastColumn="0" w:lastRowFirstColumn="0" w:lastRowLastColumn="0"/>
            </w:pPr>
            <w:r>
              <w:rPr>
                <w:rFonts w:cs="Arial"/>
                <w:sz w:val="20"/>
                <w:szCs w:val="20"/>
              </w:rPr>
              <w:t>25%</w:t>
            </w:r>
          </w:p>
        </w:tc>
        <w:tc>
          <w:tcPr>
            <w:tcW w:w="446" w:type="pct"/>
          </w:tcPr>
          <w:p w14:paraId="4297985E" w14:textId="6FFCF031"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26%</w:t>
            </w:r>
          </w:p>
        </w:tc>
        <w:tc>
          <w:tcPr>
            <w:tcW w:w="446" w:type="pct"/>
          </w:tcPr>
          <w:p w14:paraId="4CBD2823"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26%</w:t>
            </w:r>
          </w:p>
        </w:tc>
        <w:tc>
          <w:tcPr>
            <w:tcW w:w="446" w:type="pct"/>
          </w:tcPr>
          <w:p w14:paraId="0FB9A654"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26%</w:t>
            </w:r>
          </w:p>
        </w:tc>
        <w:tc>
          <w:tcPr>
            <w:tcW w:w="446" w:type="pct"/>
          </w:tcPr>
          <w:p w14:paraId="602E8F4C"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25%</w:t>
            </w:r>
          </w:p>
        </w:tc>
        <w:tc>
          <w:tcPr>
            <w:tcW w:w="446" w:type="pct"/>
          </w:tcPr>
          <w:p w14:paraId="753C4BF2"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25%</w:t>
            </w:r>
          </w:p>
        </w:tc>
        <w:tc>
          <w:tcPr>
            <w:tcW w:w="446" w:type="pct"/>
          </w:tcPr>
          <w:p w14:paraId="253A6DFD"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24%</w:t>
            </w:r>
          </w:p>
        </w:tc>
        <w:tc>
          <w:tcPr>
            <w:tcW w:w="446" w:type="pct"/>
          </w:tcPr>
          <w:p w14:paraId="4D9A4C1D"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23%</w:t>
            </w:r>
          </w:p>
        </w:tc>
        <w:tc>
          <w:tcPr>
            <w:tcW w:w="446" w:type="pct"/>
          </w:tcPr>
          <w:p w14:paraId="3366E022"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22%</w:t>
            </w:r>
          </w:p>
        </w:tc>
        <w:tc>
          <w:tcPr>
            <w:tcW w:w="326" w:type="pct"/>
          </w:tcPr>
          <w:p w14:paraId="0CB14BE6"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21%</w:t>
            </w:r>
          </w:p>
        </w:tc>
      </w:tr>
      <w:tr w:rsidR="005F2651" w14:paraId="29F4236F" w14:textId="77777777" w:rsidTr="00684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4F308388" w14:textId="77777777" w:rsidR="005F2651" w:rsidRDefault="005F2651" w:rsidP="00656AF0">
            <w:pPr>
              <w:pStyle w:val="Table1"/>
              <w:jc w:val="left"/>
            </w:pPr>
            <w:r w:rsidRPr="00552584">
              <w:t>Case 2</w:t>
            </w:r>
          </w:p>
        </w:tc>
        <w:tc>
          <w:tcPr>
            <w:tcW w:w="329" w:type="pct"/>
            <w:vAlign w:val="bottom"/>
          </w:tcPr>
          <w:p w14:paraId="24B93D09" w14:textId="1C201368" w:rsidR="005F2651" w:rsidRPr="00D03AB3" w:rsidRDefault="005F2651" w:rsidP="00656AF0">
            <w:pPr>
              <w:pStyle w:val="Table1"/>
              <w:cnfStyle w:val="000000100000" w:firstRow="0" w:lastRow="0" w:firstColumn="0" w:lastColumn="0" w:oddVBand="0" w:evenVBand="0" w:oddHBand="1" w:evenHBand="0" w:firstRowFirstColumn="0" w:firstRowLastColumn="0" w:lastRowFirstColumn="0" w:lastRowLastColumn="0"/>
            </w:pPr>
            <w:r>
              <w:rPr>
                <w:rFonts w:cs="Arial"/>
                <w:sz w:val="20"/>
                <w:szCs w:val="20"/>
              </w:rPr>
              <w:t>23%</w:t>
            </w:r>
          </w:p>
        </w:tc>
        <w:tc>
          <w:tcPr>
            <w:tcW w:w="446" w:type="pct"/>
          </w:tcPr>
          <w:p w14:paraId="1332CD87" w14:textId="3071C9BC"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26%</w:t>
            </w:r>
          </w:p>
        </w:tc>
        <w:tc>
          <w:tcPr>
            <w:tcW w:w="446" w:type="pct"/>
          </w:tcPr>
          <w:p w14:paraId="1F0374B5"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25%</w:t>
            </w:r>
          </w:p>
        </w:tc>
        <w:tc>
          <w:tcPr>
            <w:tcW w:w="446" w:type="pct"/>
          </w:tcPr>
          <w:p w14:paraId="62A1143A"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25%</w:t>
            </w:r>
          </w:p>
        </w:tc>
        <w:tc>
          <w:tcPr>
            <w:tcW w:w="446" w:type="pct"/>
          </w:tcPr>
          <w:p w14:paraId="5891D20E"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24%</w:t>
            </w:r>
          </w:p>
        </w:tc>
        <w:tc>
          <w:tcPr>
            <w:tcW w:w="446" w:type="pct"/>
          </w:tcPr>
          <w:p w14:paraId="6D344CE2"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24%</w:t>
            </w:r>
          </w:p>
        </w:tc>
        <w:tc>
          <w:tcPr>
            <w:tcW w:w="446" w:type="pct"/>
          </w:tcPr>
          <w:p w14:paraId="0A76663A"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24%</w:t>
            </w:r>
          </w:p>
        </w:tc>
        <w:tc>
          <w:tcPr>
            <w:tcW w:w="446" w:type="pct"/>
          </w:tcPr>
          <w:p w14:paraId="7B3C76BD"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23%</w:t>
            </w:r>
          </w:p>
        </w:tc>
        <w:tc>
          <w:tcPr>
            <w:tcW w:w="446" w:type="pct"/>
          </w:tcPr>
          <w:p w14:paraId="59A42F4A"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22%</w:t>
            </w:r>
          </w:p>
        </w:tc>
        <w:tc>
          <w:tcPr>
            <w:tcW w:w="326" w:type="pct"/>
          </w:tcPr>
          <w:p w14:paraId="0AB702D4"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22%</w:t>
            </w:r>
          </w:p>
        </w:tc>
      </w:tr>
      <w:tr w:rsidR="005F2651" w14:paraId="0C4497EB" w14:textId="77777777" w:rsidTr="00684E33">
        <w:tc>
          <w:tcPr>
            <w:cnfStyle w:val="001000000000" w:firstRow="0" w:lastRow="0" w:firstColumn="1" w:lastColumn="0" w:oddVBand="0" w:evenVBand="0" w:oddHBand="0" w:evenHBand="0" w:firstRowFirstColumn="0" w:firstRowLastColumn="0" w:lastRowFirstColumn="0" w:lastRowLastColumn="0"/>
            <w:tcW w:w="777" w:type="pct"/>
          </w:tcPr>
          <w:p w14:paraId="16001771" w14:textId="77777777" w:rsidR="005F2651" w:rsidRDefault="005F2651" w:rsidP="00656AF0">
            <w:pPr>
              <w:pStyle w:val="Table1"/>
              <w:jc w:val="left"/>
            </w:pPr>
            <w:r w:rsidRPr="00552584">
              <w:t>Case 3</w:t>
            </w:r>
          </w:p>
        </w:tc>
        <w:tc>
          <w:tcPr>
            <w:tcW w:w="329" w:type="pct"/>
            <w:vAlign w:val="bottom"/>
          </w:tcPr>
          <w:p w14:paraId="2373C4CC" w14:textId="1C0C503D" w:rsidR="005F2651" w:rsidRPr="00D03AB3" w:rsidRDefault="005F2651" w:rsidP="00656AF0">
            <w:pPr>
              <w:pStyle w:val="Table1"/>
              <w:cnfStyle w:val="000000000000" w:firstRow="0" w:lastRow="0" w:firstColumn="0" w:lastColumn="0" w:oddVBand="0" w:evenVBand="0" w:oddHBand="0" w:evenHBand="0" w:firstRowFirstColumn="0" w:firstRowLastColumn="0" w:lastRowFirstColumn="0" w:lastRowLastColumn="0"/>
            </w:pPr>
            <w:r>
              <w:rPr>
                <w:rFonts w:cs="Arial"/>
                <w:sz w:val="20"/>
                <w:szCs w:val="20"/>
              </w:rPr>
              <w:t>23%</w:t>
            </w:r>
          </w:p>
        </w:tc>
        <w:tc>
          <w:tcPr>
            <w:tcW w:w="446" w:type="pct"/>
          </w:tcPr>
          <w:p w14:paraId="1C9013C8" w14:textId="11DB2C6A"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33%</w:t>
            </w:r>
          </w:p>
        </w:tc>
        <w:tc>
          <w:tcPr>
            <w:tcW w:w="446" w:type="pct"/>
          </w:tcPr>
          <w:p w14:paraId="5E53AF4E"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33%</w:t>
            </w:r>
          </w:p>
        </w:tc>
        <w:tc>
          <w:tcPr>
            <w:tcW w:w="446" w:type="pct"/>
          </w:tcPr>
          <w:p w14:paraId="4B792066"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33%</w:t>
            </w:r>
          </w:p>
        </w:tc>
        <w:tc>
          <w:tcPr>
            <w:tcW w:w="446" w:type="pct"/>
          </w:tcPr>
          <w:p w14:paraId="00DCB376"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33%</w:t>
            </w:r>
          </w:p>
        </w:tc>
        <w:tc>
          <w:tcPr>
            <w:tcW w:w="446" w:type="pct"/>
          </w:tcPr>
          <w:p w14:paraId="2DDD7781"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25%</w:t>
            </w:r>
          </w:p>
        </w:tc>
        <w:tc>
          <w:tcPr>
            <w:tcW w:w="446" w:type="pct"/>
          </w:tcPr>
          <w:p w14:paraId="243E6E34"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25%</w:t>
            </w:r>
          </w:p>
        </w:tc>
        <w:tc>
          <w:tcPr>
            <w:tcW w:w="446" w:type="pct"/>
          </w:tcPr>
          <w:p w14:paraId="0A1673CF"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31%</w:t>
            </w:r>
          </w:p>
        </w:tc>
        <w:tc>
          <w:tcPr>
            <w:tcW w:w="446" w:type="pct"/>
          </w:tcPr>
          <w:p w14:paraId="1A657CCB"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30%</w:t>
            </w:r>
          </w:p>
        </w:tc>
        <w:tc>
          <w:tcPr>
            <w:tcW w:w="326" w:type="pct"/>
          </w:tcPr>
          <w:p w14:paraId="42713680"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23%</w:t>
            </w:r>
          </w:p>
        </w:tc>
      </w:tr>
      <w:tr w:rsidR="005F2651" w14:paraId="0A211657" w14:textId="77777777" w:rsidTr="00684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09616B17" w14:textId="3E2CDF4D" w:rsidR="005F2651" w:rsidRDefault="005F2651">
            <w:pPr>
              <w:pStyle w:val="Table1"/>
              <w:jc w:val="left"/>
            </w:pPr>
            <w:r w:rsidRPr="00552584">
              <w:t xml:space="preserve">Case </w:t>
            </w:r>
            <w:r>
              <w:t>4</w:t>
            </w:r>
          </w:p>
        </w:tc>
        <w:tc>
          <w:tcPr>
            <w:tcW w:w="329" w:type="pct"/>
            <w:vAlign w:val="bottom"/>
          </w:tcPr>
          <w:p w14:paraId="28027429" w14:textId="43C00A78" w:rsidR="005F2651" w:rsidRPr="00D03AB3" w:rsidRDefault="005F2651" w:rsidP="00656AF0">
            <w:pPr>
              <w:pStyle w:val="Table1"/>
              <w:cnfStyle w:val="000000100000" w:firstRow="0" w:lastRow="0" w:firstColumn="0" w:lastColumn="0" w:oddVBand="0" w:evenVBand="0" w:oddHBand="1" w:evenHBand="0" w:firstRowFirstColumn="0" w:firstRowLastColumn="0" w:lastRowFirstColumn="0" w:lastRowLastColumn="0"/>
            </w:pPr>
            <w:r>
              <w:rPr>
                <w:rFonts w:cs="Arial"/>
                <w:sz w:val="20"/>
                <w:szCs w:val="20"/>
              </w:rPr>
              <w:t>27%</w:t>
            </w:r>
          </w:p>
        </w:tc>
        <w:tc>
          <w:tcPr>
            <w:tcW w:w="446" w:type="pct"/>
          </w:tcPr>
          <w:p w14:paraId="79560820" w14:textId="4E3EFB41"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26%</w:t>
            </w:r>
          </w:p>
        </w:tc>
        <w:tc>
          <w:tcPr>
            <w:tcW w:w="446" w:type="pct"/>
          </w:tcPr>
          <w:p w14:paraId="7482AB5C"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26%</w:t>
            </w:r>
          </w:p>
        </w:tc>
        <w:tc>
          <w:tcPr>
            <w:tcW w:w="446" w:type="pct"/>
          </w:tcPr>
          <w:p w14:paraId="53F4CC73"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26%</w:t>
            </w:r>
          </w:p>
        </w:tc>
        <w:tc>
          <w:tcPr>
            <w:tcW w:w="446" w:type="pct"/>
          </w:tcPr>
          <w:p w14:paraId="7154447F"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25%</w:t>
            </w:r>
          </w:p>
        </w:tc>
        <w:tc>
          <w:tcPr>
            <w:tcW w:w="446" w:type="pct"/>
          </w:tcPr>
          <w:p w14:paraId="48D4AB7B"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25%</w:t>
            </w:r>
          </w:p>
        </w:tc>
        <w:tc>
          <w:tcPr>
            <w:tcW w:w="446" w:type="pct"/>
          </w:tcPr>
          <w:p w14:paraId="21C36487"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25%</w:t>
            </w:r>
          </w:p>
        </w:tc>
        <w:tc>
          <w:tcPr>
            <w:tcW w:w="446" w:type="pct"/>
          </w:tcPr>
          <w:p w14:paraId="5FF45686"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24%</w:t>
            </w:r>
          </w:p>
        </w:tc>
        <w:tc>
          <w:tcPr>
            <w:tcW w:w="446" w:type="pct"/>
          </w:tcPr>
          <w:p w14:paraId="3BA83775"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23%</w:t>
            </w:r>
          </w:p>
        </w:tc>
        <w:tc>
          <w:tcPr>
            <w:tcW w:w="326" w:type="pct"/>
          </w:tcPr>
          <w:p w14:paraId="3F64691B"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23%</w:t>
            </w:r>
          </w:p>
        </w:tc>
      </w:tr>
      <w:tr w:rsidR="005F2651" w14:paraId="012290E7" w14:textId="77777777" w:rsidTr="00684E33">
        <w:tc>
          <w:tcPr>
            <w:cnfStyle w:val="001000000000" w:firstRow="0" w:lastRow="0" w:firstColumn="1" w:lastColumn="0" w:oddVBand="0" w:evenVBand="0" w:oddHBand="0" w:evenHBand="0" w:firstRowFirstColumn="0" w:firstRowLastColumn="0" w:lastRowFirstColumn="0" w:lastRowLastColumn="0"/>
            <w:tcW w:w="777" w:type="pct"/>
          </w:tcPr>
          <w:p w14:paraId="3262BFCE" w14:textId="5A7F5966" w:rsidR="005F2651" w:rsidRDefault="005F2651">
            <w:pPr>
              <w:pStyle w:val="Table1"/>
              <w:jc w:val="left"/>
            </w:pPr>
            <w:r w:rsidRPr="00552584">
              <w:t xml:space="preserve">Case </w:t>
            </w:r>
            <w:r>
              <w:t>5-1%</w:t>
            </w:r>
          </w:p>
        </w:tc>
        <w:tc>
          <w:tcPr>
            <w:tcW w:w="329" w:type="pct"/>
            <w:vAlign w:val="bottom"/>
          </w:tcPr>
          <w:p w14:paraId="05325C0E" w14:textId="7683613A" w:rsidR="005F2651" w:rsidRPr="00D03AB3" w:rsidRDefault="005F2651" w:rsidP="00656AF0">
            <w:pPr>
              <w:pStyle w:val="Table1"/>
              <w:cnfStyle w:val="000000000000" w:firstRow="0" w:lastRow="0" w:firstColumn="0" w:lastColumn="0" w:oddVBand="0" w:evenVBand="0" w:oddHBand="0" w:evenHBand="0" w:firstRowFirstColumn="0" w:firstRowLastColumn="0" w:lastRowFirstColumn="0" w:lastRowLastColumn="0"/>
            </w:pPr>
            <w:r>
              <w:rPr>
                <w:rFonts w:cs="Arial"/>
                <w:sz w:val="20"/>
                <w:szCs w:val="20"/>
              </w:rPr>
              <w:t>27%</w:t>
            </w:r>
          </w:p>
        </w:tc>
        <w:tc>
          <w:tcPr>
            <w:tcW w:w="446" w:type="pct"/>
          </w:tcPr>
          <w:p w14:paraId="1164FE28" w14:textId="02426D83"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26%</w:t>
            </w:r>
          </w:p>
        </w:tc>
        <w:tc>
          <w:tcPr>
            <w:tcW w:w="446" w:type="pct"/>
          </w:tcPr>
          <w:p w14:paraId="6A770079"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26%</w:t>
            </w:r>
          </w:p>
        </w:tc>
        <w:tc>
          <w:tcPr>
            <w:tcW w:w="446" w:type="pct"/>
          </w:tcPr>
          <w:p w14:paraId="725A07C8"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26%</w:t>
            </w:r>
          </w:p>
        </w:tc>
        <w:tc>
          <w:tcPr>
            <w:tcW w:w="446" w:type="pct"/>
          </w:tcPr>
          <w:p w14:paraId="02E97E18"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25%</w:t>
            </w:r>
          </w:p>
        </w:tc>
        <w:tc>
          <w:tcPr>
            <w:tcW w:w="446" w:type="pct"/>
          </w:tcPr>
          <w:p w14:paraId="52970AB3"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25%</w:t>
            </w:r>
          </w:p>
        </w:tc>
        <w:tc>
          <w:tcPr>
            <w:tcW w:w="446" w:type="pct"/>
          </w:tcPr>
          <w:p w14:paraId="078266C6"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25%</w:t>
            </w:r>
          </w:p>
        </w:tc>
        <w:tc>
          <w:tcPr>
            <w:tcW w:w="446" w:type="pct"/>
          </w:tcPr>
          <w:p w14:paraId="30AD7A12"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24%</w:t>
            </w:r>
          </w:p>
        </w:tc>
        <w:tc>
          <w:tcPr>
            <w:tcW w:w="446" w:type="pct"/>
          </w:tcPr>
          <w:p w14:paraId="0A30CA9A"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23%</w:t>
            </w:r>
          </w:p>
        </w:tc>
        <w:tc>
          <w:tcPr>
            <w:tcW w:w="326" w:type="pct"/>
          </w:tcPr>
          <w:p w14:paraId="0CD9230E"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23%</w:t>
            </w:r>
          </w:p>
        </w:tc>
      </w:tr>
      <w:tr w:rsidR="005F2651" w14:paraId="335D8525" w14:textId="77777777" w:rsidTr="00684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261DA5F7" w14:textId="62958262" w:rsidR="005F2651" w:rsidRDefault="005F2651">
            <w:pPr>
              <w:pStyle w:val="Table1"/>
              <w:jc w:val="left"/>
            </w:pPr>
            <w:r w:rsidRPr="00552584">
              <w:t xml:space="preserve">Case </w:t>
            </w:r>
            <w:r>
              <w:t>6</w:t>
            </w:r>
          </w:p>
        </w:tc>
        <w:tc>
          <w:tcPr>
            <w:tcW w:w="329" w:type="pct"/>
            <w:vAlign w:val="bottom"/>
          </w:tcPr>
          <w:p w14:paraId="08046C33" w14:textId="15C91C2E" w:rsidR="005F2651" w:rsidRPr="00D03AB3" w:rsidRDefault="005F2651" w:rsidP="00656AF0">
            <w:pPr>
              <w:pStyle w:val="Table1"/>
              <w:cnfStyle w:val="000000100000" w:firstRow="0" w:lastRow="0" w:firstColumn="0" w:lastColumn="0" w:oddVBand="0" w:evenVBand="0" w:oddHBand="1" w:evenHBand="0" w:firstRowFirstColumn="0" w:firstRowLastColumn="0" w:lastRowFirstColumn="0" w:lastRowLastColumn="0"/>
            </w:pPr>
            <w:r>
              <w:rPr>
                <w:rFonts w:cs="Arial"/>
                <w:sz w:val="20"/>
                <w:szCs w:val="20"/>
              </w:rPr>
              <w:t>27%</w:t>
            </w:r>
          </w:p>
        </w:tc>
        <w:tc>
          <w:tcPr>
            <w:tcW w:w="446" w:type="pct"/>
          </w:tcPr>
          <w:p w14:paraId="5A74C979" w14:textId="66C1EBB3"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26%</w:t>
            </w:r>
          </w:p>
        </w:tc>
        <w:tc>
          <w:tcPr>
            <w:tcW w:w="446" w:type="pct"/>
          </w:tcPr>
          <w:p w14:paraId="4D621D02"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26%</w:t>
            </w:r>
          </w:p>
        </w:tc>
        <w:tc>
          <w:tcPr>
            <w:tcW w:w="446" w:type="pct"/>
          </w:tcPr>
          <w:p w14:paraId="47FFA30D"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26%</w:t>
            </w:r>
          </w:p>
        </w:tc>
        <w:tc>
          <w:tcPr>
            <w:tcW w:w="446" w:type="pct"/>
          </w:tcPr>
          <w:p w14:paraId="351F14F2"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25%</w:t>
            </w:r>
          </w:p>
        </w:tc>
        <w:tc>
          <w:tcPr>
            <w:tcW w:w="446" w:type="pct"/>
          </w:tcPr>
          <w:p w14:paraId="04735EFC"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25%</w:t>
            </w:r>
          </w:p>
        </w:tc>
        <w:tc>
          <w:tcPr>
            <w:tcW w:w="446" w:type="pct"/>
          </w:tcPr>
          <w:p w14:paraId="590F9F92"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25%</w:t>
            </w:r>
          </w:p>
        </w:tc>
        <w:tc>
          <w:tcPr>
            <w:tcW w:w="446" w:type="pct"/>
          </w:tcPr>
          <w:p w14:paraId="47697C74"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24%</w:t>
            </w:r>
          </w:p>
        </w:tc>
        <w:tc>
          <w:tcPr>
            <w:tcW w:w="446" w:type="pct"/>
          </w:tcPr>
          <w:p w14:paraId="34D854DE"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23%</w:t>
            </w:r>
          </w:p>
        </w:tc>
        <w:tc>
          <w:tcPr>
            <w:tcW w:w="326" w:type="pct"/>
          </w:tcPr>
          <w:p w14:paraId="6A3CA39C"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23%</w:t>
            </w:r>
          </w:p>
        </w:tc>
      </w:tr>
      <w:tr w:rsidR="005F2651" w14:paraId="230887B5" w14:textId="77777777" w:rsidTr="00684E33">
        <w:tc>
          <w:tcPr>
            <w:cnfStyle w:val="001000000000" w:firstRow="0" w:lastRow="0" w:firstColumn="1" w:lastColumn="0" w:oddVBand="0" w:evenVBand="0" w:oddHBand="0" w:evenHBand="0" w:firstRowFirstColumn="0" w:firstRowLastColumn="0" w:lastRowFirstColumn="0" w:lastRowLastColumn="0"/>
            <w:tcW w:w="777" w:type="pct"/>
          </w:tcPr>
          <w:p w14:paraId="25C99E61" w14:textId="1CB7CBC3" w:rsidR="005F2651" w:rsidRDefault="005F2651">
            <w:pPr>
              <w:pStyle w:val="Table1"/>
              <w:jc w:val="left"/>
            </w:pPr>
            <w:r>
              <w:t>Case 7 with Market</w:t>
            </w:r>
          </w:p>
        </w:tc>
        <w:tc>
          <w:tcPr>
            <w:tcW w:w="329" w:type="pct"/>
            <w:vAlign w:val="bottom"/>
          </w:tcPr>
          <w:p w14:paraId="1C2E1F96" w14:textId="55A530F5" w:rsidR="005F2651" w:rsidRPr="00D03AB3" w:rsidRDefault="005F2651" w:rsidP="00656AF0">
            <w:pPr>
              <w:pStyle w:val="Table1"/>
              <w:cnfStyle w:val="000000000000" w:firstRow="0" w:lastRow="0" w:firstColumn="0" w:lastColumn="0" w:oddVBand="0" w:evenVBand="0" w:oddHBand="0" w:evenHBand="0" w:firstRowFirstColumn="0" w:firstRowLastColumn="0" w:lastRowFirstColumn="0" w:lastRowLastColumn="0"/>
            </w:pPr>
            <w:r>
              <w:rPr>
                <w:rFonts w:cs="Arial"/>
                <w:sz w:val="20"/>
                <w:szCs w:val="20"/>
              </w:rPr>
              <w:t>16%</w:t>
            </w:r>
          </w:p>
        </w:tc>
        <w:tc>
          <w:tcPr>
            <w:tcW w:w="446" w:type="pct"/>
          </w:tcPr>
          <w:p w14:paraId="42CDC315" w14:textId="0E975F02"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27%</w:t>
            </w:r>
          </w:p>
        </w:tc>
        <w:tc>
          <w:tcPr>
            <w:tcW w:w="446" w:type="pct"/>
          </w:tcPr>
          <w:p w14:paraId="6AC1E048"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26%</w:t>
            </w:r>
          </w:p>
        </w:tc>
        <w:tc>
          <w:tcPr>
            <w:tcW w:w="446" w:type="pct"/>
          </w:tcPr>
          <w:p w14:paraId="2AC61A53"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26%</w:t>
            </w:r>
          </w:p>
        </w:tc>
        <w:tc>
          <w:tcPr>
            <w:tcW w:w="446" w:type="pct"/>
          </w:tcPr>
          <w:p w14:paraId="0CECB8C6"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25%</w:t>
            </w:r>
          </w:p>
        </w:tc>
        <w:tc>
          <w:tcPr>
            <w:tcW w:w="446" w:type="pct"/>
          </w:tcPr>
          <w:p w14:paraId="70793681"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25%</w:t>
            </w:r>
          </w:p>
        </w:tc>
        <w:tc>
          <w:tcPr>
            <w:tcW w:w="446" w:type="pct"/>
          </w:tcPr>
          <w:p w14:paraId="752CE401"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25%</w:t>
            </w:r>
          </w:p>
        </w:tc>
        <w:tc>
          <w:tcPr>
            <w:tcW w:w="446" w:type="pct"/>
          </w:tcPr>
          <w:p w14:paraId="5633DEFE"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24%</w:t>
            </w:r>
          </w:p>
        </w:tc>
        <w:tc>
          <w:tcPr>
            <w:tcW w:w="446" w:type="pct"/>
          </w:tcPr>
          <w:p w14:paraId="1EFE8E04"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21%</w:t>
            </w:r>
          </w:p>
        </w:tc>
        <w:tc>
          <w:tcPr>
            <w:tcW w:w="326" w:type="pct"/>
          </w:tcPr>
          <w:p w14:paraId="269AFDD4"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18%</w:t>
            </w:r>
          </w:p>
        </w:tc>
      </w:tr>
      <w:tr w:rsidR="005F2651" w14:paraId="2E79BBBD" w14:textId="77777777" w:rsidTr="00684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194AEE7E" w14:textId="5210A95E" w:rsidR="005F2651" w:rsidRDefault="005F2651">
            <w:pPr>
              <w:pStyle w:val="Table1"/>
              <w:jc w:val="left"/>
            </w:pPr>
            <w:r>
              <w:t>Case 8 Market 75 MW</w:t>
            </w:r>
          </w:p>
        </w:tc>
        <w:tc>
          <w:tcPr>
            <w:tcW w:w="329" w:type="pct"/>
            <w:vAlign w:val="bottom"/>
          </w:tcPr>
          <w:p w14:paraId="7FCBD43A" w14:textId="5C68FC5A" w:rsidR="005F2651" w:rsidRPr="00D03AB3" w:rsidRDefault="005F2651" w:rsidP="00656AF0">
            <w:pPr>
              <w:pStyle w:val="Table1"/>
              <w:cnfStyle w:val="000000100000" w:firstRow="0" w:lastRow="0" w:firstColumn="0" w:lastColumn="0" w:oddVBand="0" w:evenVBand="0" w:oddHBand="1" w:evenHBand="0" w:firstRowFirstColumn="0" w:firstRowLastColumn="0" w:lastRowFirstColumn="0" w:lastRowLastColumn="0"/>
            </w:pPr>
            <w:r>
              <w:rPr>
                <w:rFonts w:cs="Arial"/>
                <w:sz w:val="20"/>
                <w:szCs w:val="20"/>
              </w:rPr>
              <w:t>20%</w:t>
            </w:r>
          </w:p>
        </w:tc>
        <w:tc>
          <w:tcPr>
            <w:tcW w:w="446" w:type="pct"/>
          </w:tcPr>
          <w:p w14:paraId="6AAC130A" w14:textId="730C7C18"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16%</w:t>
            </w:r>
          </w:p>
        </w:tc>
        <w:tc>
          <w:tcPr>
            <w:tcW w:w="446" w:type="pct"/>
          </w:tcPr>
          <w:p w14:paraId="66635A78"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16%</w:t>
            </w:r>
          </w:p>
        </w:tc>
        <w:tc>
          <w:tcPr>
            <w:tcW w:w="446" w:type="pct"/>
          </w:tcPr>
          <w:p w14:paraId="0C92A6C2"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16%</w:t>
            </w:r>
          </w:p>
        </w:tc>
        <w:tc>
          <w:tcPr>
            <w:tcW w:w="446" w:type="pct"/>
          </w:tcPr>
          <w:p w14:paraId="711408EF"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16%</w:t>
            </w:r>
          </w:p>
        </w:tc>
        <w:tc>
          <w:tcPr>
            <w:tcW w:w="446" w:type="pct"/>
          </w:tcPr>
          <w:p w14:paraId="28A7BC53"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15%</w:t>
            </w:r>
          </w:p>
        </w:tc>
        <w:tc>
          <w:tcPr>
            <w:tcW w:w="446" w:type="pct"/>
          </w:tcPr>
          <w:p w14:paraId="45F08D99"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15%</w:t>
            </w:r>
          </w:p>
        </w:tc>
        <w:tc>
          <w:tcPr>
            <w:tcW w:w="446" w:type="pct"/>
          </w:tcPr>
          <w:p w14:paraId="3875116E"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15%</w:t>
            </w:r>
          </w:p>
        </w:tc>
        <w:tc>
          <w:tcPr>
            <w:tcW w:w="446" w:type="pct"/>
          </w:tcPr>
          <w:p w14:paraId="7E2A838C"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14%</w:t>
            </w:r>
          </w:p>
        </w:tc>
        <w:tc>
          <w:tcPr>
            <w:tcW w:w="326" w:type="pct"/>
          </w:tcPr>
          <w:p w14:paraId="400582DA"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14%</w:t>
            </w:r>
          </w:p>
        </w:tc>
      </w:tr>
      <w:tr w:rsidR="005F2651" w14:paraId="1F1E6810" w14:textId="77777777" w:rsidTr="00684E33">
        <w:tc>
          <w:tcPr>
            <w:cnfStyle w:val="001000000000" w:firstRow="0" w:lastRow="0" w:firstColumn="1" w:lastColumn="0" w:oddVBand="0" w:evenVBand="0" w:oddHBand="0" w:evenHBand="0" w:firstRowFirstColumn="0" w:firstRowLastColumn="0" w:lastRowFirstColumn="0" w:lastRowLastColumn="0"/>
            <w:tcW w:w="777" w:type="pct"/>
          </w:tcPr>
          <w:p w14:paraId="0F2413A3" w14:textId="643E5775" w:rsidR="005F2651" w:rsidRDefault="005F2651">
            <w:pPr>
              <w:pStyle w:val="Table1"/>
              <w:jc w:val="left"/>
            </w:pPr>
            <w:r>
              <w:t>Case 9 Alternative Capacity 100-150 MW</w:t>
            </w:r>
          </w:p>
        </w:tc>
        <w:tc>
          <w:tcPr>
            <w:tcW w:w="329" w:type="pct"/>
            <w:vAlign w:val="bottom"/>
          </w:tcPr>
          <w:p w14:paraId="2590356D" w14:textId="04AD59AA" w:rsidR="005F2651" w:rsidRPr="00D03AB3" w:rsidRDefault="005F2651">
            <w:pPr>
              <w:pStyle w:val="Table1"/>
              <w:cnfStyle w:val="000000000000" w:firstRow="0" w:lastRow="0" w:firstColumn="0" w:lastColumn="0" w:oddVBand="0" w:evenVBand="0" w:oddHBand="0" w:evenHBand="0" w:firstRowFirstColumn="0" w:firstRowLastColumn="0" w:lastRowFirstColumn="0" w:lastRowLastColumn="0"/>
            </w:pPr>
            <w:r>
              <w:rPr>
                <w:rFonts w:cs="Arial"/>
                <w:sz w:val="20"/>
                <w:szCs w:val="20"/>
              </w:rPr>
              <w:t>26%</w:t>
            </w:r>
          </w:p>
        </w:tc>
        <w:tc>
          <w:tcPr>
            <w:tcW w:w="446" w:type="pct"/>
          </w:tcPr>
          <w:p w14:paraId="7611FCC0" w14:textId="7793BE4E"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20%</w:t>
            </w:r>
          </w:p>
        </w:tc>
        <w:tc>
          <w:tcPr>
            <w:tcW w:w="446" w:type="pct"/>
          </w:tcPr>
          <w:p w14:paraId="2B1A35DB"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20%</w:t>
            </w:r>
          </w:p>
        </w:tc>
        <w:tc>
          <w:tcPr>
            <w:tcW w:w="446" w:type="pct"/>
          </w:tcPr>
          <w:p w14:paraId="2790DFD0"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19%</w:t>
            </w:r>
          </w:p>
        </w:tc>
        <w:tc>
          <w:tcPr>
            <w:tcW w:w="446" w:type="pct"/>
          </w:tcPr>
          <w:p w14:paraId="7BE6EC73"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19%</w:t>
            </w:r>
          </w:p>
        </w:tc>
        <w:tc>
          <w:tcPr>
            <w:tcW w:w="446" w:type="pct"/>
          </w:tcPr>
          <w:p w14:paraId="6509F954"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19%</w:t>
            </w:r>
          </w:p>
        </w:tc>
        <w:tc>
          <w:tcPr>
            <w:tcW w:w="446" w:type="pct"/>
          </w:tcPr>
          <w:p w14:paraId="4AAEE79A"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19%</w:t>
            </w:r>
          </w:p>
        </w:tc>
        <w:tc>
          <w:tcPr>
            <w:tcW w:w="446" w:type="pct"/>
          </w:tcPr>
          <w:p w14:paraId="32F7E1DA"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24%</w:t>
            </w:r>
          </w:p>
        </w:tc>
        <w:tc>
          <w:tcPr>
            <w:tcW w:w="446" w:type="pct"/>
          </w:tcPr>
          <w:p w14:paraId="6AA0390A"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23%</w:t>
            </w:r>
          </w:p>
        </w:tc>
        <w:tc>
          <w:tcPr>
            <w:tcW w:w="326" w:type="pct"/>
          </w:tcPr>
          <w:p w14:paraId="1FB93476" w14:textId="77777777" w:rsidR="005F2651" w:rsidRDefault="005F2651" w:rsidP="00656AF0">
            <w:pPr>
              <w:pStyle w:val="Table1"/>
              <w:cnfStyle w:val="000000000000" w:firstRow="0" w:lastRow="0" w:firstColumn="0" w:lastColumn="0" w:oddVBand="0" w:evenVBand="0" w:oddHBand="0" w:evenHBand="0" w:firstRowFirstColumn="0" w:firstRowLastColumn="0" w:lastRowFirstColumn="0" w:lastRowLastColumn="0"/>
            </w:pPr>
            <w:r w:rsidRPr="00D03AB3">
              <w:t>23%</w:t>
            </w:r>
          </w:p>
        </w:tc>
      </w:tr>
      <w:tr w:rsidR="005F2651" w14:paraId="1EDDDCF3" w14:textId="77777777" w:rsidTr="00684E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7" w:type="pct"/>
          </w:tcPr>
          <w:p w14:paraId="6C8AF571" w14:textId="46AE1B50" w:rsidR="005F2651" w:rsidRDefault="005F2651">
            <w:pPr>
              <w:pStyle w:val="Table1"/>
              <w:jc w:val="left"/>
            </w:pPr>
            <w:r>
              <w:t>Case 10 Market 95%</w:t>
            </w:r>
          </w:p>
        </w:tc>
        <w:tc>
          <w:tcPr>
            <w:tcW w:w="329" w:type="pct"/>
            <w:vAlign w:val="bottom"/>
          </w:tcPr>
          <w:p w14:paraId="44EAA576" w14:textId="324832E2" w:rsidR="005F2651" w:rsidRPr="00D03AB3" w:rsidRDefault="005F2651">
            <w:pPr>
              <w:pStyle w:val="Table1"/>
              <w:cnfStyle w:val="000000100000" w:firstRow="0" w:lastRow="0" w:firstColumn="0" w:lastColumn="0" w:oddVBand="0" w:evenVBand="0" w:oddHBand="1" w:evenHBand="0" w:firstRowFirstColumn="0" w:firstRowLastColumn="0" w:lastRowFirstColumn="0" w:lastRowLastColumn="0"/>
            </w:pPr>
            <w:r>
              <w:rPr>
                <w:rFonts w:cs="Arial"/>
                <w:sz w:val="20"/>
                <w:szCs w:val="20"/>
              </w:rPr>
              <w:t>27%</w:t>
            </w:r>
          </w:p>
        </w:tc>
        <w:tc>
          <w:tcPr>
            <w:tcW w:w="446" w:type="pct"/>
          </w:tcPr>
          <w:p w14:paraId="29F6E2C5" w14:textId="54C4C65C"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26%</w:t>
            </w:r>
          </w:p>
        </w:tc>
        <w:tc>
          <w:tcPr>
            <w:tcW w:w="446" w:type="pct"/>
          </w:tcPr>
          <w:p w14:paraId="7F6656A3"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26%</w:t>
            </w:r>
          </w:p>
        </w:tc>
        <w:tc>
          <w:tcPr>
            <w:tcW w:w="446" w:type="pct"/>
          </w:tcPr>
          <w:p w14:paraId="14169877"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26%</w:t>
            </w:r>
          </w:p>
        </w:tc>
        <w:tc>
          <w:tcPr>
            <w:tcW w:w="446" w:type="pct"/>
          </w:tcPr>
          <w:p w14:paraId="41E3BA6A"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25%</w:t>
            </w:r>
          </w:p>
        </w:tc>
        <w:tc>
          <w:tcPr>
            <w:tcW w:w="446" w:type="pct"/>
          </w:tcPr>
          <w:p w14:paraId="58733C4A"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25%</w:t>
            </w:r>
          </w:p>
        </w:tc>
        <w:tc>
          <w:tcPr>
            <w:tcW w:w="446" w:type="pct"/>
          </w:tcPr>
          <w:p w14:paraId="57DCBD2C"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25%</w:t>
            </w:r>
          </w:p>
        </w:tc>
        <w:tc>
          <w:tcPr>
            <w:tcW w:w="446" w:type="pct"/>
          </w:tcPr>
          <w:p w14:paraId="4A52161A"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24%</w:t>
            </w:r>
          </w:p>
        </w:tc>
        <w:tc>
          <w:tcPr>
            <w:tcW w:w="446" w:type="pct"/>
          </w:tcPr>
          <w:p w14:paraId="4A26CA79"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23%</w:t>
            </w:r>
          </w:p>
        </w:tc>
        <w:tc>
          <w:tcPr>
            <w:tcW w:w="326" w:type="pct"/>
          </w:tcPr>
          <w:p w14:paraId="4D32546E" w14:textId="77777777" w:rsidR="005F2651" w:rsidRDefault="005F2651" w:rsidP="00656AF0">
            <w:pPr>
              <w:pStyle w:val="Table1"/>
              <w:cnfStyle w:val="000000100000" w:firstRow="0" w:lastRow="0" w:firstColumn="0" w:lastColumn="0" w:oddVBand="0" w:evenVBand="0" w:oddHBand="1" w:evenHBand="0" w:firstRowFirstColumn="0" w:firstRowLastColumn="0" w:lastRowFirstColumn="0" w:lastRowLastColumn="0"/>
            </w:pPr>
            <w:r w:rsidRPr="00D03AB3">
              <w:t>23%</w:t>
            </w:r>
          </w:p>
        </w:tc>
      </w:tr>
    </w:tbl>
    <w:p w14:paraId="407219B7" w14:textId="77777777" w:rsidR="00EF1D77" w:rsidRDefault="00EF1D77" w:rsidP="00EF1D77"/>
    <w:p w14:paraId="2FF7D49A" w14:textId="2FCBE219" w:rsidR="00E24C3D" w:rsidRDefault="00275E36" w:rsidP="00EF1D77">
      <w:r>
        <w:t>T</w:t>
      </w:r>
      <w:r w:rsidR="00EF1D77">
        <w:t xml:space="preserve">he next </w:t>
      </w:r>
      <w:r>
        <w:t xml:space="preserve">PRM </w:t>
      </w:r>
      <w:r w:rsidR="00EF1D77">
        <w:t xml:space="preserve">report will be released as an appendix </w:t>
      </w:r>
      <w:r>
        <w:t>to</w:t>
      </w:r>
      <w:r w:rsidR="00EF1D77">
        <w:t xml:space="preserve"> the</w:t>
      </w:r>
      <w:r>
        <w:t xml:space="preserve"> 2016 Long Term </w:t>
      </w:r>
      <w:r w:rsidR="003A5C5B">
        <w:t xml:space="preserve">Electric </w:t>
      </w:r>
      <w:r>
        <w:t>Resource Plan</w:t>
      </w:r>
      <w:r w:rsidR="003A5C5B">
        <w:t xml:space="preserve"> expected to be filed with the BCUC by June 30, 2016</w:t>
      </w:r>
      <w:r>
        <w:t>.</w:t>
      </w:r>
      <w:r w:rsidR="00477CEC">
        <w:t xml:space="preserve">  </w:t>
      </w:r>
      <w:r w:rsidR="00477CEC">
        <w:lastRenderedPageBreak/>
        <w:t xml:space="preserve">The LTERP will incorporate the PRM approach recommended here within its </w:t>
      </w:r>
      <w:r w:rsidR="001E2DDC">
        <w:t xml:space="preserve">resource options </w:t>
      </w:r>
      <w:r w:rsidR="00477CEC">
        <w:t>portfolio analysis</w:t>
      </w:r>
      <w:r w:rsidR="001E2DDC">
        <w:t xml:space="preserve"> as one of the main criteria in determining preferred resource portfolios to meet future customer load requirements in a reliable and cost effective manner. </w:t>
      </w:r>
    </w:p>
    <w:p w14:paraId="40E3166E" w14:textId="48C3720D" w:rsidR="00A126E2" w:rsidRDefault="00A126E2">
      <w:pPr>
        <w:jc w:val="left"/>
      </w:pPr>
      <w:r>
        <w:br w:type="page"/>
      </w:r>
    </w:p>
    <w:p w14:paraId="76555C97" w14:textId="1F9098D0" w:rsidR="00A126E2" w:rsidRPr="00DE0F07" w:rsidRDefault="00A126E2" w:rsidP="00E67133">
      <w:pPr>
        <w:pStyle w:val="Heading1"/>
        <w:numPr>
          <w:ilvl w:val="0"/>
          <w:numId w:val="0"/>
        </w:numPr>
      </w:pPr>
      <w:bookmarkStart w:id="113" w:name="_Toc426649362"/>
      <w:r w:rsidRPr="00DE0F07">
        <w:lastRenderedPageBreak/>
        <w:t>Appendi</w:t>
      </w:r>
      <w:r w:rsidR="00292609">
        <w:t>c</w:t>
      </w:r>
      <w:r w:rsidR="00DE0F07" w:rsidRPr="00DE0F07">
        <w:t>es</w:t>
      </w:r>
      <w:bookmarkEnd w:id="113"/>
    </w:p>
    <w:p w14:paraId="6A5B42F5" w14:textId="00258F5B" w:rsidR="00A126E2" w:rsidRDefault="00DE0F07">
      <w:pPr>
        <w:jc w:val="left"/>
      </w:pPr>
      <w:r>
        <w:t>Appendix A – An Example of Capacity Outage Probability Table</w:t>
      </w:r>
    </w:p>
    <w:p w14:paraId="19E894C9" w14:textId="77777777" w:rsidR="00DE0F07" w:rsidRPr="00DE0F07" w:rsidRDefault="00DE0F07" w:rsidP="00DE0F07">
      <w:pPr>
        <w:jc w:val="left"/>
      </w:pPr>
      <w:r w:rsidRPr="00DE0F07">
        <w:t>Appendix B – Capacity Resources</w:t>
      </w:r>
    </w:p>
    <w:p w14:paraId="2EB0D97E" w14:textId="77777777" w:rsidR="00DE0F07" w:rsidRPr="00DE0F07" w:rsidRDefault="00DE0F07" w:rsidP="00DE0F07">
      <w:pPr>
        <w:jc w:val="left"/>
      </w:pPr>
      <w:r w:rsidRPr="00DE0F07">
        <w:t>Appendix C – Peak Forecast</w:t>
      </w:r>
    </w:p>
    <w:p w14:paraId="7225377C" w14:textId="77777777" w:rsidR="009B38FB" w:rsidRPr="009B38FB" w:rsidRDefault="009B38FB" w:rsidP="009B38FB">
      <w:pPr>
        <w:jc w:val="left"/>
      </w:pPr>
      <w:r w:rsidRPr="009B38FB">
        <w:t>Appendix D – Capacity Gaps</w:t>
      </w:r>
    </w:p>
    <w:p w14:paraId="5B1B2A5F" w14:textId="77777777" w:rsidR="009B38FB" w:rsidRPr="009B38FB" w:rsidRDefault="009B38FB" w:rsidP="009B38FB">
      <w:pPr>
        <w:jc w:val="left"/>
      </w:pPr>
      <w:r w:rsidRPr="009B38FB">
        <w:t>Appendix E – Monte-Carlo Simulation Results</w:t>
      </w:r>
    </w:p>
    <w:p w14:paraId="56FA9167" w14:textId="77777777" w:rsidR="00292609" w:rsidRDefault="00292609" w:rsidP="00292609">
      <w:pPr>
        <w:jc w:val="left"/>
      </w:pPr>
      <w:r w:rsidRPr="00292609">
        <w:t>Appendix F – Comparison Between FBC and BCH Approaches for PRM</w:t>
      </w:r>
    </w:p>
    <w:p w14:paraId="3B64ADF0" w14:textId="1D0561B4" w:rsidR="00292609" w:rsidRPr="00292609" w:rsidRDefault="00292609" w:rsidP="00292609">
      <w:pPr>
        <w:jc w:val="left"/>
      </w:pPr>
      <w:r w:rsidRPr="00292609">
        <w:t xml:space="preserve">Appendix G – </w:t>
      </w:r>
      <w:r>
        <w:t>G</w:t>
      </w:r>
      <w:r w:rsidRPr="00292609">
        <w:t>lossar</w:t>
      </w:r>
      <w:r>
        <w:t>ies</w:t>
      </w:r>
      <w:r w:rsidRPr="00292609">
        <w:t xml:space="preserve"> &amp; </w:t>
      </w:r>
      <w:r>
        <w:t>A</w:t>
      </w:r>
      <w:r w:rsidRPr="00292609">
        <w:t>cronyms</w:t>
      </w:r>
    </w:p>
    <w:p w14:paraId="056C3A87" w14:textId="77777777" w:rsidR="00292609" w:rsidRDefault="00292609">
      <w:pPr>
        <w:jc w:val="left"/>
        <w:sectPr w:rsidR="00292609" w:rsidSect="0054077C">
          <w:footerReference w:type="default" r:id="rId21"/>
          <w:pgSz w:w="12240" w:h="15840"/>
          <w:pgMar w:top="1440" w:right="1440" w:bottom="1440" w:left="1440" w:header="708" w:footer="708" w:gutter="0"/>
          <w:lnNumType w:countBy="1"/>
          <w:cols w:space="708"/>
          <w:docGrid w:linePitch="360"/>
        </w:sectPr>
      </w:pPr>
    </w:p>
    <w:p w14:paraId="1B07466E" w14:textId="77777777" w:rsidR="004310B0" w:rsidRPr="004310B0" w:rsidRDefault="004310B0" w:rsidP="00E67133">
      <w:pPr>
        <w:pStyle w:val="Heading2"/>
        <w:numPr>
          <w:ilvl w:val="0"/>
          <w:numId w:val="0"/>
        </w:numPr>
        <w:ind w:left="450"/>
      </w:pPr>
      <w:bookmarkStart w:id="114" w:name="_Toc426649363"/>
      <w:r w:rsidRPr="004310B0">
        <w:lastRenderedPageBreak/>
        <w:t>Appendix A – An Example of Capacity Outage Probability Table</w:t>
      </w:r>
      <w:bookmarkEnd w:id="114"/>
    </w:p>
    <w:bookmarkStart w:id="115" w:name="_MON_1500364361"/>
    <w:bookmarkEnd w:id="115"/>
    <w:p w14:paraId="11DBE6ED" w14:textId="27636193" w:rsidR="00A126E2" w:rsidRDefault="00A126E2">
      <w:pPr>
        <w:jc w:val="left"/>
      </w:pPr>
      <w:r>
        <w:object w:dxaOrig="9356" w:dyaOrig="10041" w14:anchorId="5FB11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01.75pt" o:ole="">
            <v:imagedata r:id="rId22" o:title=""/>
          </v:shape>
          <o:OLEObject Type="Embed" ProgID="Word.Document.12" ShapeID="_x0000_i1025" DrawAspect="Content" ObjectID="_1500459031" r:id="rId23">
            <o:FieldCodes>\s</o:FieldCodes>
          </o:OLEObject>
        </w:object>
      </w:r>
    </w:p>
    <w:p w14:paraId="70D13D84" w14:textId="77777777" w:rsidR="00DE0F07" w:rsidRDefault="00DE0F07" w:rsidP="00A126E2">
      <w:pPr>
        <w:ind w:firstLine="720"/>
        <w:jc w:val="left"/>
        <w:sectPr w:rsidR="00DE0F07" w:rsidSect="0054077C">
          <w:headerReference w:type="default" r:id="rId24"/>
          <w:pgSz w:w="12240" w:h="15840"/>
          <w:pgMar w:top="1440" w:right="1440" w:bottom="1440" w:left="1440" w:header="708" w:footer="708" w:gutter="0"/>
          <w:lnNumType w:countBy="1"/>
          <w:cols w:space="708"/>
          <w:docGrid w:linePitch="360"/>
        </w:sectPr>
      </w:pPr>
    </w:p>
    <w:p w14:paraId="2CCDCEB1" w14:textId="77777777" w:rsidR="004310B0" w:rsidRPr="004310B0" w:rsidRDefault="004310B0" w:rsidP="00E67133">
      <w:pPr>
        <w:pStyle w:val="Heading2"/>
        <w:numPr>
          <w:ilvl w:val="0"/>
          <w:numId w:val="0"/>
        </w:numPr>
        <w:ind w:left="450"/>
      </w:pPr>
      <w:bookmarkStart w:id="116" w:name="_Toc426649364"/>
      <w:bookmarkStart w:id="117" w:name="_Ref377629468"/>
      <w:bookmarkStart w:id="118" w:name="_Toc377457549"/>
      <w:bookmarkStart w:id="119" w:name="_Toc383169318"/>
      <w:r w:rsidRPr="004310B0">
        <w:lastRenderedPageBreak/>
        <w:t>Appendix B – Capacity Resources</w:t>
      </w:r>
      <w:bookmarkEnd w:id="116"/>
    </w:p>
    <w:p w14:paraId="5368B59F" w14:textId="77777777" w:rsidR="004310B0" w:rsidRDefault="004310B0" w:rsidP="004310B0">
      <w:pPr>
        <w:pStyle w:val="TableHeading"/>
        <w:jc w:val="left"/>
      </w:pPr>
    </w:p>
    <w:p w14:paraId="0F2EF8CD" w14:textId="77777777" w:rsidR="00DE0F07" w:rsidRDefault="00DE0F07" w:rsidP="00DE0F07">
      <w:pPr>
        <w:pStyle w:val="TableHeading"/>
      </w:pPr>
      <w:r>
        <w:t xml:space="preserve">Table </w:t>
      </w:r>
      <w:bookmarkEnd w:id="117"/>
      <w:r>
        <w:t>B-1:  Capacity Resources</w:t>
      </w:r>
      <w:bookmarkEnd w:id="118"/>
      <w:bookmarkEnd w:id="119"/>
    </w:p>
    <w:p w14:paraId="180B8C58" w14:textId="77777777" w:rsidR="00DE0F07" w:rsidRDefault="00DE0F07" w:rsidP="00DE0F07">
      <w:pPr>
        <w:pStyle w:val="TableCentre"/>
        <w:rPr>
          <w:lang w:val="en-US"/>
        </w:rPr>
      </w:pPr>
      <w:r>
        <w:rPr>
          <w:noProof/>
          <w:lang w:eastAsia="en-CA"/>
        </w:rPr>
        <w:drawing>
          <wp:inline distT="0" distB="0" distL="0" distR="0" wp14:anchorId="6C3F3015" wp14:editId="4F247D67">
            <wp:extent cx="5943600" cy="3133828"/>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943600" cy="3133828"/>
                    </a:xfrm>
                    <a:prstGeom prst="rect">
                      <a:avLst/>
                    </a:prstGeom>
                    <a:noFill/>
                    <a:ln>
                      <a:noFill/>
                    </a:ln>
                  </pic:spPr>
                </pic:pic>
              </a:graphicData>
            </a:graphic>
          </wp:inline>
        </w:drawing>
      </w:r>
    </w:p>
    <w:p w14:paraId="0E13C478" w14:textId="77777777" w:rsidR="00DE0F07" w:rsidRDefault="00DE0F07" w:rsidP="00DE0F07">
      <w:pPr>
        <w:rPr>
          <w:lang w:val="en-US"/>
        </w:rPr>
      </w:pPr>
    </w:p>
    <w:p w14:paraId="2764E16C" w14:textId="77777777" w:rsidR="00DE0F07" w:rsidRDefault="00DE0F07" w:rsidP="00DE0F07">
      <w:pPr>
        <w:pStyle w:val="TableHeading"/>
      </w:pPr>
      <w:bookmarkStart w:id="120" w:name="_Ref377629600"/>
      <w:bookmarkStart w:id="121" w:name="_Toc377457550"/>
      <w:bookmarkStart w:id="122" w:name="_Toc383169319"/>
      <w:r>
        <w:lastRenderedPageBreak/>
        <w:t xml:space="preserve">Table </w:t>
      </w:r>
      <w:bookmarkEnd w:id="120"/>
      <w:r>
        <w:t>B-2:  Forced Outage Rates</w:t>
      </w:r>
      <w:bookmarkEnd w:id="121"/>
      <w:bookmarkEnd w:id="122"/>
    </w:p>
    <w:p w14:paraId="6428BE0E" w14:textId="77777777" w:rsidR="00DE0F07" w:rsidRDefault="00DE0F07" w:rsidP="00DE0F07">
      <w:pPr>
        <w:pStyle w:val="TableCentre"/>
        <w:rPr>
          <w:lang w:val="en-US"/>
        </w:rPr>
      </w:pPr>
      <w:r w:rsidRPr="004815B6">
        <w:rPr>
          <w:noProof/>
          <w:lang w:eastAsia="en-CA"/>
        </w:rPr>
        <w:drawing>
          <wp:inline distT="0" distB="0" distL="0" distR="0" wp14:anchorId="45EBC849" wp14:editId="016F79A1">
            <wp:extent cx="3928843" cy="4500000"/>
            <wp:effectExtent l="0" t="0" r="0" b="0"/>
            <wp:docPr id="1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cstate="print"/>
                    <a:srcRect/>
                    <a:stretch>
                      <a:fillRect/>
                    </a:stretch>
                  </pic:blipFill>
                  <pic:spPr bwMode="auto">
                    <a:xfrm>
                      <a:off x="0" y="0"/>
                      <a:ext cx="3928843" cy="4500000"/>
                    </a:xfrm>
                    <a:prstGeom prst="rect">
                      <a:avLst/>
                    </a:prstGeom>
                    <a:noFill/>
                    <a:ln w="9525">
                      <a:noFill/>
                      <a:miter lim="800000"/>
                      <a:headEnd/>
                      <a:tailEnd/>
                    </a:ln>
                  </pic:spPr>
                </pic:pic>
              </a:graphicData>
            </a:graphic>
          </wp:inline>
        </w:drawing>
      </w:r>
    </w:p>
    <w:p w14:paraId="0A10066A" w14:textId="77777777" w:rsidR="00DE0F07" w:rsidRDefault="00DE0F07" w:rsidP="00DE0F07">
      <w:pPr>
        <w:tabs>
          <w:tab w:val="left" w:pos="1035"/>
        </w:tabs>
        <w:rPr>
          <w:lang w:val="en-US"/>
        </w:rPr>
      </w:pPr>
      <w:r>
        <w:rPr>
          <w:lang w:val="en-US"/>
        </w:rPr>
        <w:tab/>
      </w:r>
    </w:p>
    <w:p w14:paraId="23D2D67E" w14:textId="77777777" w:rsidR="00DE0F07" w:rsidRDefault="00DE0F07" w:rsidP="00DE0F07">
      <w:pPr>
        <w:pStyle w:val="TableCentre"/>
        <w:rPr>
          <w:lang w:val="en-US"/>
        </w:rPr>
      </w:pPr>
      <w:r w:rsidRPr="00473C77">
        <w:rPr>
          <w:noProof/>
          <w:lang w:eastAsia="en-CA"/>
        </w:rPr>
        <w:drawing>
          <wp:inline distT="0" distB="0" distL="0" distR="0" wp14:anchorId="2C99D88D" wp14:editId="25156281">
            <wp:extent cx="1903796" cy="1260000"/>
            <wp:effectExtent l="0" t="0" r="1270" b="0"/>
            <wp:docPr id="2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srcRect/>
                    <a:stretch>
                      <a:fillRect/>
                    </a:stretch>
                  </pic:blipFill>
                  <pic:spPr bwMode="auto">
                    <a:xfrm>
                      <a:off x="0" y="0"/>
                      <a:ext cx="1903796" cy="1260000"/>
                    </a:xfrm>
                    <a:prstGeom prst="rect">
                      <a:avLst/>
                    </a:prstGeom>
                    <a:noFill/>
                    <a:ln w="9525">
                      <a:noFill/>
                      <a:miter lim="800000"/>
                      <a:headEnd/>
                      <a:tailEnd/>
                    </a:ln>
                  </pic:spPr>
                </pic:pic>
              </a:graphicData>
            </a:graphic>
          </wp:inline>
        </w:drawing>
      </w:r>
    </w:p>
    <w:p w14:paraId="6A7B6C46" w14:textId="77777777" w:rsidR="00DE0F07" w:rsidRDefault="00DE0F07" w:rsidP="00DE0F07">
      <w:pPr>
        <w:rPr>
          <w:lang w:val="en-US"/>
        </w:rPr>
      </w:pPr>
    </w:p>
    <w:p w14:paraId="1BF5A4BB" w14:textId="77777777" w:rsidR="00DE0F07" w:rsidRDefault="00DE0F07" w:rsidP="00DE0F07">
      <w:pPr>
        <w:pStyle w:val="TableHeading"/>
      </w:pPr>
      <w:bookmarkStart w:id="123" w:name="_Ref377629712"/>
      <w:bookmarkStart w:id="124" w:name="_Toc377457551"/>
      <w:bookmarkStart w:id="125" w:name="_Toc383169320"/>
      <w:r>
        <w:lastRenderedPageBreak/>
        <w:t xml:space="preserve">Table </w:t>
      </w:r>
      <w:bookmarkEnd w:id="123"/>
      <w:r>
        <w:t>B-4:  Maintenance Schedule</w:t>
      </w:r>
      <w:bookmarkEnd w:id="124"/>
      <w:bookmarkEnd w:id="125"/>
      <w:r>
        <w:t xml:space="preserve"> (MW) </w:t>
      </w:r>
    </w:p>
    <w:p w14:paraId="39BD519B" w14:textId="77777777" w:rsidR="00DE0F07" w:rsidRDefault="00DE0F07" w:rsidP="00DE0F07">
      <w:pPr>
        <w:pStyle w:val="TableCentre"/>
        <w:rPr>
          <w:lang w:val="en-US"/>
        </w:rPr>
      </w:pPr>
      <w:r w:rsidRPr="001203EC">
        <w:rPr>
          <w:noProof/>
          <w:lang w:eastAsia="en-CA"/>
        </w:rPr>
        <w:drawing>
          <wp:inline distT="0" distB="0" distL="0" distR="0" wp14:anchorId="4070C691" wp14:editId="417E86C0">
            <wp:extent cx="5943600" cy="387113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943600" cy="3871135"/>
                    </a:xfrm>
                    <a:prstGeom prst="rect">
                      <a:avLst/>
                    </a:prstGeom>
                    <a:noFill/>
                    <a:ln>
                      <a:noFill/>
                    </a:ln>
                  </pic:spPr>
                </pic:pic>
              </a:graphicData>
            </a:graphic>
          </wp:inline>
        </w:drawing>
      </w:r>
    </w:p>
    <w:p w14:paraId="2EF07F93" w14:textId="77777777" w:rsidR="00DE0F07" w:rsidRDefault="00DE0F07" w:rsidP="00DE0F07">
      <w:pPr>
        <w:rPr>
          <w:lang w:val="en-US"/>
        </w:rPr>
      </w:pPr>
    </w:p>
    <w:p w14:paraId="5B5B0331" w14:textId="77777777" w:rsidR="00DE0F07" w:rsidRPr="00256EE2" w:rsidRDefault="00DE0F07" w:rsidP="00DE0F07">
      <w:pPr>
        <w:pStyle w:val="TableHeading"/>
      </w:pPr>
      <w:bookmarkStart w:id="126" w:name="_Ref377629765"/>
      <w:bookmarkStart w:id="127" w:name="_Toc377457552"/>
      <w:bookmarkStart w:id="128" w:name="_Toc383169321"/>
      <w:r>
        <w:t xml:space="preserve">Table </w:t>
      </w:r>
      <w:bookmarkEnd w:id="126"/>
      <w:r>
        <w:t>B-4:  WAX Capacity after RCA, Maintenances, and Operating Reserves</w:t>
      </w:r>
      <w:bookmarkEnd w:id="127"/>
      <w:bookmarkEnd w:id="128"/>
      <w:r>
        <w:t xml:space="preserve"> (MW)</w:t>
      </w:r>
    </w:p>
    <w:p w14:paraId="4D965201" w14:textId="77777777" w:rsidR="00DE0F07" w:rsidRDefault="00DE0F07" w:rsidP="00DE0F07">
      <w:pPr>
        <w:pStyle w:val="TableCentre"/>
        <w:rPr>
          <w:lang w:val="en-US"/>
        </w:rPr>
      </w:pPr>
      <w:r w:rsidRPr="001203EC">
        <w:rPr>
          <w:noProof/>
          <w:lang w:eastAsia="en-CA"/>
        </w:rPr>
        <w:drawing>
          <wp:inline distT="0" distB="0" distL="0" distR="0" wp14:anchorId="2E043C48" wp14:editId="73896966">
            <wp:extent cx="5943600" cy="2894283"/>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943600" cy="2894283"/>
                    </a:xfrm>
                    <a:prstGeom prst="rect">
                      <a:avLst/>
                    </a:prstGeom>
                    <a:noFill/>
                    <a:ln>
                      <a:noFill/>
                    </a:ln>
                  </pic:spPr>
                </pic:pic>
              </a:graphicData>
            </a:graphic>
          </wp:inline>
        </w:drawing>
      </w:r>
    </w:p>
    <w:p w14:paraId="1AD4DD16" w14:textId="77777777" w:rsidR="00DE0F07" w:rsidRDefault="00DE0F07" w:rsidP="00DE0F07">
      <w:pPr>
        <w:pStyle w:val="Caption"/>
      </w:pPr>
      <w:bookmarkStart w:id="129" w:name="_Ref356287328"/>
    </w:p>
    <w:p w14:paraId="73325DF8" w14:textId="77777777" w:rsidR="00DE0F07" w:rsidRDefault="00DE0F07" w:rsidP="00DE0F07">
      <w:pPr>
        <w:pStyle w:val="TableHeading"/>
        <w:rPr>
          <w:lang w:val="en-US"/>
        </w:rPr>
      </w:pPr>
      <w:bookmarkStart w:id="130" w:name="_Ref377631514"/>
      <w:bookmarkStart w:id="131" w:name="_Toc377457553"/>
      <w:bookmarkStart w:id="132" w:name="_Toc383169322"/>
      <w:bookmarkEnd w:id="129"/>
      <w:r>
        <w:lastRenderedPageBreak/>
        <w:t xml:space="preserve">Table </w:t>
      </w:r>
      <w:bookmarkEnd w:id="130"/>
      <w:r>
        <w:t>B-5:  Planned Capacity to Meet Gaps</w:t>
      </w:r>
      <w:bookmarkEnd w:id="131"/>
      <w:bookmarkEnd w:id="132"/>
      <w:r>
        <w:t xml:space="preserve"> (MW)</w:t>
      </w:r>
    </w:p>
    <w:p w14:paraId="6E4BF026" w14:textId="77777777" w:rsidR="00DE0F07" w:rsidRDefault="00DE0F07" w:rsidP="00DE0F07">
      <w:pPr>
        <w:pStyle w:val="TableCentre"/>
        <w:rPr>
          <w:lang w:val="en-US"/>
        </w:rPr>
      </w:pPr>
      <w:r w:rsidRPr="00045F24">
        <w:rPr>
          <w:noProof/>
          <w:lang w:eastAsia="en-CA"/>
        </w:rPr>
        <w:drawing>
          <wp:inline distT="0" distB="0" distL="0" distR="0" wp14:anchorId="799D66B0" wp14:editId="267958DD">
            <wp:extent cx="5943600" cy="306881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43600" cy="3068815"/>
                    </a:xfrm>
                    <a:prstGeom prst="rect">
                      <a:avLst/>
                    </a:prstGeom>
                    <a:noFill/>
                    <a:ln>
                      <a:noFill/>
                    </a:ln>
                  </pic:spPr>
                </pic:pic>
              </a:graphicData>
            </a:graphic>
          </wp:inline>
        </w:drawing>
      </w:r>
    </w:p>
    <w:p w14:paraId="7248C1C9" w14:textId="77777777" w:rsidR="00DE0F07" w:rsidRPr="00EF71C1" w:rsidRDefault="00DE0F07" w:rsidP="00DE0F07">
      <w:pPr>
        <w:rPr>
          <w:lang w:val="en-US"/>
        </w:rPr>
      </w:pPr>
    </w:p>
    <w:p w14:paraId="05DC83EB" w14:textId="77777777" w:rsidR="00DE0F07" w:rsidRDefault="00DE0F07" w:rsidP="00A126E2">
      <w:pPr>
        <w:jc w:val="left"/>
        <w:sectPr w:rsidR="00DE0F07" w:rsidSect="0054077C">
          <w:headerReference w:type="default" r:id="rId31"/>
          <w:pgSz w:w="12240" w:h="15840"/>
          <w:pgMar w:top="1440" w:right="1440" w:bottom="1440" w:left="1440" w:header="708" w:footer="708" w:gutter="0"/>
          <w:lnNumType w:countBy="1"/>
          <w:cols w:space="708"/>
          <w:docGrid w:linePitch="360"/>
        </w:sectPr>
      </w:pPr>
    </w:p>
    <w:p w14:paraId="0931F5E4" w14:textId="77777777" w:rsidR="004310B0" w:rsidRPr="00DE0F07" w:rsidRDefault="004310B0" w:rsidP="00E67133">
      <w:pPr>
        <w:pStyle w:val="Heading2"/>
        <w:numPr>
          <w:ilvl w:val="0"/>
          <w:numId w:val="0"/>
        </w:numPr>
        <w:ind w:left="450"/>
      </w:pPr>
      <w:bookmarkStart w:id="133" w:name="_Toc426649365"/>
      <w:bookmarkStart w:id="134" w:name="_Ref377629827"/>
      <w:bookmarkStart w:id="135" w:name="_Toc377457554"/>
      <w:bookmarkStart w:id="136" w:name="_Toc383169323"/>
      <w:r w:rsidRPr="00DE0F07">
        <w:lastRenderedPageBreak/>
        <w:t>Appendix C – Peak Forecast</w:t>
      </w:r>
      <w:bookmarkEnd w:id="133"/>
    </w:p>
    <w:p w14:paraId="7026F701" w14:textId="77777777" w:rsidR="004310B0" w:rsidRDefault="004310B0" w:rsidP="009B38FB">
      <w:pPr>
        <w:jc w:val="center"/>
        <w:rPr>
          <w:b/>
          <w:lang w:val="en-GB"/>
        </w:rPr>
      </w:pPr>
    </w:p>
    <w:p w14:paraId="640D5E74" w14:textId="77777777" w:rsidR="00DE0F07" w:rsidRPr="00DE0F07" w:rsidRDefault="00DE0F07" w:rsidP="009B38FB">
      <w:pPr>
        <w:jc w:val="center"/>
        <w:rPr>
          <w:b/>
          <w:lang w:val="en-US"/>
        </w:rPr>
      </w:pPr>
      <w:r w:rsidRPr="00DE0F07">
        <w:rPr>
          <w:b/>
          <w:lang w:val="en-GB"/>
        </w:rPr>
        <w:t xml:space="preserve">Table </w:t>
      </w:r>
      <w:bookmarkEnd w:id="134"/>
      <w:r w:rsidRPr="00DE0F07">
        <w:rPr>
          <w:b/>
          <w:lang w:val="en-GB"/>
        </w:rPr>
        <w:t xml:space="preserve">C-1:  </w:t>
      </w:r>
      <w:r w:rsidRPr="00DE0F07">
        <w:rPr>
          <w:b/>
          <w:lang w:val="en-US"/>
        </w:rPr>
        <w:t>Expected Peak Demand Forecast (MW)</w:t>
      </w:r>
      <w:bookmarkStart w:id="137" w:name="_Toc377457555"/>
      <w:bookmarkEnd w:id="135"/>
      <w:bookmarkEnd w:id="136"/>
    </w:p>
    <w:p w14:paraId="6FED7FA6" w14:textId="77777777" w:rsidR="00DE0F07" w:rsidRPr="00DE0F07" w:rsidRDefault="00DE0F07" w:rsidP="00DE0F07">
      <w:pPr>
        <w:jc w:val="left"/>
        <w:rPr>
          <w:lang w:val="en-US"/>
        </w:rPr>
      </w:pPr>
      <w:r w:rsidRPr="00DE0F07">
        <w:rPr>
          <w:noProof/>
          <w:lang w:eastAsia="en-CA"/>
        </w:rPr>
        <w:drawing>
          <wp:inline distT="0" distB="0" distL="0" distR="0" wp14:anchorId="38212388" wp14:editId="6A5CDA57">
            <wp:extent cx="5949315" cy="28263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49315" cy="2826385"/>
                    </a:xfrm>
                    <a:prstGeom prst="rect">
                      <a:avLst/>
                    </a:prstGeom>
                    <a:noFill/>
                    <a:ln>
                      <a:noFill/>
                    </a:ln>
                  </pic:spPr>
                </pic:pic>
              </a:graphicData>
            </a:graphic>
          </wp:inline>
        </w:drawing>
      </w:r>
      <w:r w:rsidRPr="00DE0F07">
        <w:rPr>
          <w:lang w:val="en-US"/>
        </w:rPr>
        <w:br w:type="page"/>
      </w:r>
    </w:p>
    <w:p w14:paraId="0546F8A5" w14:textId="77777777" w:rsidR="00DE0F07" w:rsidRPr="00DE0F07" w:rsidRDefault="00DE0F07" w:rsidP="009B38FB">
      <w:pPr>
        <w:jc w:val="center"/>
        <w:rPr>
          <w:b/>
          <w:lang w:val="en-US"/>
        </w:rPr>
      </w:pPr>
      <w:bookmarkStart w:id="138" w:name="_Ref377629976"/>
      <w:bookmarkStart w:id="139" w:name="_Toc383169324"/>
      <w:r w:rsidRPr="00DE0F07">
        <w:rPr>
          <w:b/>
          <w:lang w:val="en-GB"/>
        </w:rPr>
        <w:lastRenderedPageBreak/>
        <w:t xml:space="preserve">Table </w:t>
      </w:r>
      <w:bookmarkEnd w:id="138"/>
      <w:r w:rsidRPr="00DE0F07">
        <w:rPr>
          <w:b/>
          <w:lang w:val="en-GB"/>
        </w:rPr>
        <w:t xml:space="preserve">C-2:  </w:t>
      </w:r>
      <w:r w:rsidRPr="00DE0F07">
        <w:rPr>
          <w:b/>
          <w:lang w:val="en-US"/>
        </w:rPr>
        <w:t>Monthly Load Curves</w:t>
      </w:r>
      <w:bookmarkEnd w:id="137"/>
      <w:bookmarkEnd w:id="139"/>
      <w:r w:rsidRPr="00DE0F07">
        <w:rPr>
          <w:b/>
          <w:lang w:val="en-US"/>
        </w:rPr>
        <w:t xml:space="preserve"> (Percent of Peak Load)</w:t>
      </w:r>
    </w:p>
    <w:p w14:paraId="0EBD96CE" w14:textId="77777777" w:rsidR="00DE0F07" w:rsidRPr="00DE0F07" w:rsidRDefault="00DE0F07" w:rsidP="00DE0F07">
      <w:pPr>
        <w:jc w:val="left"/>
        <w:rPr>
          <w:lang w:val="en-US"/>
        </w:rPr>
      </w:pPr>
      <w:r w:rsidRPr="00DE0F07">
        <w:rPr>
          <w:noProof/>
          <w:lang w:eastAsia="en-CA"/>
        </w:rPr>
        <w:drawing>
          <wp:inline distT="0" distB="0" distL="0" distR="0" wp14:anchorId="073135D1" wp14:editId="05EA5039">
            <wp:extent cx="5943600" cy="5087659"/>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srcRect/>
                    <a:stretch>
                      <a:fillRect/>
                    </a:stretch>
                  </pic:blipFill>
                  <pic:spPr bwMode="auto">
                    <a:xfrm>
                      <a:off x="0" y="0"/>
                      <a:ext cx="5943600" cy="5087659"/>
                    </a:xfrm>
                    <a:prstGeom prst="rect">
                      <a:avLst/>
                    </a:prstGeom>
                    <a:noFill/>
                    <a:ln w="9525">
                      <a:noFill/>
                      <a:miter lim="800000"/>
                      <a:headEnd/>
                      <a:tailEnd/>
                    </a:ln>
                  </pic:spPr>
                </pic:pic>
              </a:graphicData>
            </a:graphic>
          </wp:inline>
        </w:drawing>
      </w:r>
    </w:p>
    <w:p w14:paraId="1A4F0D8B" w14:textId="77777777" w:rsidR="00DE0F07" w:rsidRPr="00DE0F07" w:rsidRDefault="00DE0F07" w:rsidP="00DE0F07">
      <w:pPr>
        <w:jc w:val="left"/>
        <w:rPr>
          <w:lang w:val="en-US"/>
        </w:rPr>
      </w:pPr>
    </w:p>
    <w:p w14:paraId="65C74384" w14:textId="77777777" w:rsidR="00DE0F07" w:rsidRPr="00DE0F07" w:rsidRDefault="00DE0F07" w:rsidP="00DE0F07">
      <w:pPr>
        <w:jc w:val="left"/>
        <w:rPr>
          <w:lang w:val="en-US"/>
        </w:rPr>
      </w:pPr>
      <w:r w:rsidRPr="00DE0F07">
        <w:rPr>
          <w:lang w:val="en-US"/>
        </w:rPr>
        <w:br w:type="page"/>
      </w:r>
    </w:p>
    <w:p w14:paraId="28761DBC" w14:textId="77777777" w:rsidR="00DE0F07" w:rsidRPr="00DE0F07" w:rsidRDefault="00DE0F07" w:rsidP="009B38FB">
      <w:pPr>
        <w:jc w:val="center"/>
        <w:rPr>
          <w:b/>
          <w:lang w:val="en-US"/>
        </w:rPr>
      </w:pPr>
      <w:bookmarkStart w:id="140" w:name="_Ref377630019"/>
      <w:bookmarkStart w:id="141" w:name="_Ref355789692"/>
      <w:bookmarkStart w:id="142" w:name="_Toc377457556"/>
      <w:bookmarkStart w:id="143" w:name="_Toc383169325"/>
      <w:r w:rsidRPr="00DE0F07">
        <w:rPr>
          <w:b/>
          <w:lang w:val="en-GB"/>
        </w:rPr>
        <w:lastRenderedPageBreak/>
        <w:t xml:space="preserve">Table </w:t>
      </w:r>
      <w:bookmarkEnd w:id="140"/>
      <w:r w:rsidRPr="00DE0F07">
        <w:rPr>
          <w:b/>
          <w:lang w:val="en-GB"/>
        </w:rPr>
        <w:t xml:space="preserve">C-3:  </w:t>
      </w:r>
      <w:r w:rsidRPr="00DE0F07">
        <w:rPr>
          <w:b/>
          <w:lang w:val="en-US"/>
        </w:rPr>
        <w:t>High Peak Forecast due to Economic Drivers</w:t>
      </w:r>
      <w:bookmarkEnd w:id="141"/>
      <w:bookmarkEnd w:id="142"/>
      <w:bookmarkEnd w:id="143"/>
      <w:r w:rsidRPr="00DE0F07">
        <w:rPr>
          <w:b/>
          <w:lang w:val="en-US"/>
        </w:rPr>
        <w:t xml:space="preserve"> (MW)</w:t>
      </w:r>
    </w:p>
    <w:p w14:paraId="565F75A9" w14:textId="77777777" w:rsidR="00DE0F07" w:rsidRPr="00DE0F07" w:rsidRDefault="00DE0F07" w:rsidP="00DE0F07">
      <w:pPr>
        <w:jc w:val="left"/>
        <w:rPr>
          <w:lang w:val="en-US"/>
        </w:rPr>
      </w:pPr>
      <w:r w:rsidRPr="00DE0F07">
        <w:rPr>
          <w:noProof/>
          <w:lang w:eastAsia="en-CA"/>
        </w:rPr>
        <w:drawing>
          <wp:inline distT="0" distB="0" distL="0" distR="0" wp14:anchorId="09143E27" wp14:editId="68A10E6B">
            <wp:extent cx="5943600" cy="3419981"/>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943600" cy="3419981"/>
                    </a:xfrm>
                    <a:prstGeom prst="rect">
                      <a:avLst/>
                    </a:prstGeom>
                    <a:noFill/>
                    <a:ln>
                      <a:noFill/>
                    </a:ln>
                  </pic:spPr>
                </pic:pic>
              </a:graphicData>
            </a:graphic>
          </wp:inline>
        </w:drawing>
      </w:r>
    </w:p>
    <w:p w14:paraId="2731AF5C" w14:textId="77777777" w:rsidR="00DE0F07" w:rsidRPr="00DE0F07" w:rsidRDefault="00DE0F07" w:rsidP="00DE0F07">
      <w:pPr>
        <w:jc w:val="left"/>
        <w:rPr>
          <w:lang w:val="en-US"/>
        </w:rPr>
      </w:pPr>
    </w:p>
    <w:p w14:paraId="223EE697" w14:textId="77777777" w:rsidR="00DE0F07" w:rsidRDefault="00DE0F07" w:rsidP="00A126E2">
      <w:pPr>
        <w:jc w:val="left"/>
        <w:sectPr w:rsidR="00DE0F07" w:rsidSect="004310B0">
          <w:headerReference w:type="default" r:id="rId35"/>
          <w:footerReference w:type="default" r:id="rId36"/>
          <w:pgSz w:w="12240" w:h="15840"/>
          <w:pgMar w:top="1440" w:right="1440" w:bottom="1440" w:left="1440" w:header="708" w:footer="708" w:gutter="0"/>
          <w:lnNumType w:countBy="1"/>
          <w:cols w:space="708"/>
          <w:docGrid w:linePitch="360"/>
        </w:sectPr>
      </w:pPr>
    </w:p>
    <w:p w14:paraId="7BC31171" w14:textId="77777777" w:rsidR="004310B0" w:rsidRPr="009B38FB" w:rsidRDefault="004310B0" w:rsidP="00E67133">
      <w:pPr>
        <w:pStyle w:val="Heading2"/>
        <w:numPr>
          <w:ilvl w:val="0"/>
          <w:numId w:val="0"/>
        </w:numPr>
        <w:ind w:left="450"/>
      </w:pPr>
      <w:bookmarkStart w:id="144" w:name="_Toc426649366"/>
      <w:bookmarkStart w:id="145" w:name="_Ref377630145"/>
      <w:bookmarkStart w:id="146" w:name="_Toc377457559"/>
      <w:bookmarkStart w:id="147" w:name="_Toc383169327"/>
      <w:r w:rsidRPr="009B38FB">
        <w:lastRenderedPageBreak/>
        <w:t>Appendix D – Capacity Gaps</w:t>
      </w:r>
      <w:bookmarkEnd w:id="144"/>
    </w:p>
    <w:p w14:paraId="3905A947" w14:textId="77777777" w:rsidR="004310B0" w:rsidRDefault="004310B0" w:rsidP="009B38FB">
      <w:pPr>
        <w:jc w:val="center"/>
        <w:rPr>
          <w:b/>
          <w:lang w:val="en-GB"/>
        </w:rPr>
      </w:pPr>
    </w:p>
    <w:p w14:paraId="51215F08" w14:textId="77777777" w:rsidR="00DE0F07" w:rsidRPr="00DE0F07" w:rsidRDefault="00DE0F07" w:rsidP="009B38FB">
      <w:pPr>
        <w:jc w:val="center"/>
        <w:rPr>
          <w:b/>
          <w:lang w:val="en-US"/>
        </w:rPr>
      </w:pPr>
      <w:r w:rsidRPr="00DE0F07">
        <w:rPr>
          <w:b/>
          <w:lang w:val="en-GB"/>
        </w:rPr>
        <w:t xml:space="preserve">Table </w:t>
      </w:r>
      <w:bookmarkEnd w:id="145"/>
      <w:r w:rsidRPr="00DE0F07">
        <w:rPr>
          <w:b/>
          <w:lang w:val="en-GB"/>
        </w:rPr>
        <w:t xml:space="preserve">D-1:  </w:t>
      </w:r>
      <w:r w:rsidRPr="00DE0F07">
        <w:rPr>
          <w:b/>
          <w:lang w:val="en-US"/>
        </w:rPr>
        <w:t>Capacity Gaps (MW)</w:t>
      </w:r>
      <w:bookmarkEnd w:id="146"/>
      <w:bookmarkEnd w:id="147"/>
    </w:p>
    <w:p w14:paraId="0847A4E1" w14:textId="77777777" w:rsidR="00DE0F07" w:rsidRDefault="00DE0F07" w:rsidP="00DE0F07">
      <w:pPr>
        <w:jc w:val="left"/>
        <w:rPr>
          <w:lang w:val="en-US"/>
        </w:rPr>
      </w:pPr>
      <w:r w:rsidRPr="00DE0F07">
        <w:rPr>
          <w:noProof/>
          <w:lang w:eastAsia="en-CA"/>
        </w:rPr>
        <w:drawing>
          <wp:inline distT="0" distB="0" distL="0" distR="0" wp14:anchorId="1F361202" wp14:editId="785D9B82">
            <wp:extent cx="5997219" cy="3096000"/>
            <wp:effectExtent l="0" t="0" r="381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997219" cy="3096000"/>
                    </a:xfrm>
                    <a:prstGeom prst="rect">
                      <a:avLst/>
                    </a:prstGeom>
                    <a:noFill/>
                    <a:ln>
                      <a:noFill/>
                    </a:ln>
                  </pic:spPr>
                </pic:pic>
              </a:graphicData>
            </a:graphic>
          </wp:inline>
        </w:drawing>
      </w:r>
    </w:p>
    <w:p w14:paraId="70D8EDB2" w14:textId="77777777" w:rsidR="009B38FB" w:rsidRDefault="009B38FB" w:rsidP="00DE0F07">
      <w:pPr>
        <w:jc w:val="left"/>
        <w:rPr>
          <w:lang w:val="en-US"/>
        </w:rPr>
        <w:sectPr w:rsidR="009B38FB" w:rsidSect="004310B0">
          <w:headerReference w:type="default" r:id="rId37"/>
          <w:footerReference w:type="default" r:id="rId38"/>
          <w:pgSz w:w="12240" w:h="15840"/>
          <w:pgMar w:top="1440" w:right="1440" w:bottom="1440" w:left="1440" w:header="708" w:footer="708" w:gutter="0"/>
          <w:lnNumType w:countBy="1"/>
          <w:cols w:space="708"/>
          <w:docGrid w:linePitch="360"/>
        </w:sectPr>
      </w:pPr>
    </w:p>
    <w:p w14:paraId="06D3FF8C" w14:textId="77777777" w:rsidR="004310B0" w:rsidRPr="009B38FB" w:rsidRDefault="004310B0" w:rsidP="00E67133">
      <w:pPr>
        <w:pStyle w:val="Heading2"/>
        <w:numPr>
          <w:ilvl w:val="0"/>
          <w:numId w:val="0"/>
        </w:numPr>
        <w:ind w:left="450"/>
      </w:pPr>
      <w:bookmarkStart w:id="148" w:name="_Toc426649367"/>
      <w:bookmarkStart w:id="149" w:name="_Ref377630379"/>
      <w:bookmarkStart w:id="150" w:name="_Ref355850922"/>
      <w:bookmarkStart w:id="151" w:name="_Toc377457565"/>
      <w:bookmarkStart w:id="152" w:name="_Toc383169328"/>
      <w:r w:rsidRPr="009B38FB">
        <w:lastRenderedPageBreak/>
        <w:t>Appendix E – Monte-Carlo Simulation Results</w:t>
      </w:r>
      <w:bookmarkEnd w:id="148"/>
    </w:p>
    <w:p w14:paraId="18BF4C70" w14:textId="77777777" w:rsidR="004310B0" w:rsidRDefault="004310B0" w:rsidP="009B38FB">
      <w:pPr>
        <w:keepNext/>
        <w:spacing w:after="120" w:line="240" w:lineRule="auto"/>
        <w:jc w:val="center"/>
        <w:rPr>
          <w:rFonts w:eastAsia="Times New Roman" w:cs="Times New Roman"/>
          <w:b/>
          <w:sz w:val="20"/>
          <w:szCs w:val="20"/>
          <w:lang w:val="en-GB"/>
        </w:rPr>
      </w:pPr>
    </w:p>
    <w:p w14:paraId="58CC919D" w14:textId="77777777" w:rsidR="009B38FB" w:rsidRPr="009B38FB" w:rsidRDefault="009B38FB" w:rsidP="009B38FB">
      <w:pPr>
        <w:keepNext/>
        <w:spacing w:after="120" w:line="240" w:lineRule="auto"/>
        <w:jc w:val="center"/>
        <w:rPr>
          <w:rFonts w:eastAsia="Times New Roman" w:cs="Times New Roman"/>
          <w:b/>
          <w:sz w:val="20"/>
          <w:szCs w:val="20"/>
          <w:lang w:val="en-US"/>
        </w:rPr>
      </w:pPr>
      <w:r w:rsidRPr="009B38FB">
        <w:rPr>
          <w:rFonts w:eastAsia="Times New Roman" w:cs="Times New Roman"/>
          <w:b/>
          <w:sz w:val="20"/>
          <w:szCs w:val="20"/>
          <w:lang w:val="en-GB"/>
        </w:rPr>
        <w:t xml:space="preserve">Table </w:t>
      </w:r>
      <w:bookmarkEnd w:id="149"/>
      <w:r w:rsidRPr="009B38FB">
        <w:rPr>
          <w:rFonts w:eastAsia="Times New Roman" w:cs="Times New Roman"/>
          <w:b/>
          <w:sz w:val="20"/>
          <w:szCs w:val="20"/>
          <w:lang w:val="en-GB"/>
        </w:rPr>
        <w:t xml:space="preserve">E-1:  </w:t>
      </w:r>
      <w:r w:rsidRPr="009B38FB">
        <w:rPr>
          <w:rFonts w:eastAsia="Times New Roman" w:cs="Times New Roman"/>
          <w:b/>
          <w:sz w:val="20"/>
          <w:szCs w:val="20"/>
          <w:lang w:val="en-US"/>
        </w:rPr>
        <w:t>LOLE for the Base Case</w:t>
      </w:r>
      <w:bookmarkEnd w:id="150"/>
      <w:bookmarkEnd w:id="151"/>
      <w:bookmarkEnd w:id="152"/>
    </w:p>
    <w:p w14:paraId="3AFB1CEF" w14:textId="77777777" w:rsidR="009B38FB" w:rsidRPr="009B38FB" w:rsidRDefault="009B38FB" w:rsidP="009B38FB">
      <w:pPr>
        <w:spacing w:before="40" w:after="40" w:line="240" w:lineRule="auto"/>
        <w:jc w:val="center"/>
        <w:rPr>
          <w:sz w:val="20"/>
          <w:lang w:val="en-US"/>
        </w:rPr>
      </w:pPr>
      <w:r w:rsidRPr="009B38FB">
        <w:rPr>
          <w:noProof/>
          <w:sz w:val="20"/>
          <w:lang w:eastAsia="en-CA"/>
        </w:rPr>
        <w:drawing>
          <wp:inline distT="0" distB="0" distL="0" distR="0" wp14:anchorId="0925038E" wp14:editId="6C0624F1">
            <wp:extent cx="5943600" cy="282176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943600" cy="2821763"/>
                    </a:xfrm>
                    <a:prstGeom prst="rect">
                      <a:avLst/>
                    </a:prstGeom>
                    <a:noFill/>
                    <a:ln>
                      <a:noFill/>
                    </a:ln>
                  </pic:spPr>
                </pic:pic>
              </a:graphicData>
            </a:graphic>
          </wp:inline>
        </w:drawing>
      </w:r>
    </w:p>
    <w:p w14:paraId="4E91E20D" w14:textId="77777777" w:rsidR="009B38FB" w:rsidRPr="009B38FB" w:rsidRDefault="009B38FB" w:rsidP="009B38FB">
      <w:pPr>
        <w:rPr>
          <w:lang w:val="en-US"/>
        </w:rPr>
      </w:pPr>
    </w:p>
    <w:p w14:paraId="4D99F5C6" w14:textId="77777777" w:rsidR="009B38FB" w:rsidRPr="009B38FB" w:rsidRDefault="009B38FB" w:rsidP="009B38FB">
      <w:pPr>
        <w:keepNext/>
        <w:spacing w:after="120" w:line="240" w:lineRule="auto"/>
        <w:jc w:val="center"/>
        <w:rPr>
          <w:rFonts w:eastAsia="Times New Roman" w:cs="Times New Roman"/>
          <w:b/>
          <w:sz w:val="20"/>
          <w:szCs w:val="20"/>
          <w:lang w:val="en-GB"/>
        </w:rPr>
      </w:pPr>
      <w:bookmarkStart w:id="153" w:name="_Ref381947914"/>
      <w:bookmarkStart w:id="154" w:name="_Toc355786970"/>
      <w:bookmarkStart w:id="155" w:name="_Toc383169329"/>
      <w:r w:rsidRPr="009B38FB">
        <w:rPr>
          <w:rFonts w:eastAsia="Times New Roman" w:cs="Times New Roman"/>
          <w:b/>
          <w:sz w:val="20"/>
          <w:szCs w:val="20"/>
          <w:lang w:val="en-GB"/>
        </w:rPr>
        <w:t xml:space="preserve">Table </w:t>
      </w:r>
      <w:bookmarkEnd w:id="153"/>
      <w:r w:rsidRPr="009B38FB">
        <w:rPr>
          <w:rFonts w:eastAsia="Times New Roman" w:cs="Times New Roman"/>
          <w:b/>
          <w:sz w:val="20"/>
          <w:szCs w:val="20"/>
          <w:lang w:val="en-GB"/>
        </w:rPr>
        <w:t xml:space="preserve">E-2:  </w:t>
      </w:r>
      <w:r w:rsidRPr="009B38FB">
        <w:rPr>
          <w:rFonts w:eastAsia="Times New Roman" w:cs="Times New Roman"/>
          <w:b/>
          <w:sz w:val="20"/>
          <w:szCs w:val="20"/>
          <w:lang w:val="en-US"/>
        </w:rPr>
        <w:t>PRM for the Base Case</w:t>
      </w:r>
      <w:bookmarkEnd w:id="154"/>
      <w:bookmarkEnd w:id="155"/>
    </w:p>
    <w:tbl>
      <w:tblPr>
        <w:tblStyle w:val="LightList-Accent111"/>
        <w:tblW w:w="9458" w:type="dxa"/>
        <w:tblLook w:val="04A0" w:firstRow="1" w:lastRow="0" w:firstColumn="1" w:lastColumn="0" w:noHBand="0" w:noVBand="1"/>
      </w:tblPr>
      <w:tblGrid>
        <w:gridCol w:w="817"/>
        <w:gridCol w:w="1728"/>
        <w:gridCol w:w="1728"/>
        <w:gridCol w:w="1728"/>
        <w:gridCol w:w="1728"/>
        <w:gridCol w:w="1729"/>
      </w:tblGrid>
      <w:tr w:rsidR="009B38FB" w:rsidRPr="009B38FB" w14:paraId="6FB17A63" w14:textId="77777777" w:rsidTr="00431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vAlign w:val="center"/>
          </w:tcPr>
          <w:p w14:paraId="267679BC" w14:textId="77777777" w:rsidR="009B38FB" w:rsidRPr="009B38FB" w:rsidRDefault="009B38FB" w:rsidP="009B38FB">
            <w:pPr>
              <w:spacing w:before="40" w:after="40"/>
              <w:jc w:val="center"/>
              <w:rPr>
                <w:rFonts w:cs="Arial"/>
                <w:sz w:val="18"/>
                <w:szCs w:val="18"/>
                <w:lang w:val="en-US"/>
              </w:rPr>
            </w:pPr>
            <w:r w:rsidRPr="009B38FB">
              <w:rPr>
                <w:rFonts w:cs="Arial"/>
                <w:sz w:val="18"/>
                <w:szCs w:val="18"/>
                <w:lang w:val="en-US"/>
              </w:rPr>
              <w:t>Year</w:t>
            </w:r>
          </w:p>
        </w:tc>
        <w:tc>
          <w:tcPr>
            <w:tcW w:w="1728" w:type="dxa"/>
            <w:vAlign w:val="center"/>
          </w:tcPr>
          <w:p w14:paraId="2A28DBBE" w14:textId="77777777" w:rsidR="009B38FB" w:rsidRPr="009B38FB" w:rsidRDefault="009B38FB" w:rsidP="009B38FB">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lang w:val="en-US"/>
              </w:rPr>
            </w:pPr>
            <w:r w:rsidRPr="009B38FB">
              <w:rPr>
                <w:rFonts w:cs="Arial"/>
                <w:sz w:val="18"/>
                <w:szCs w:val="18"/>
              </w:rPr>
              <w:t>LOLE (day)</w:t>
            </w:r>
          </w:p>
        </w:tc>
        <w:tc>
          <w:tcPr>
            <w:tcW w:w="1728" w:type="dxa"/>
            <w:vAlign w:val="center"/>
          </w:tcPr>
          <w:p w14:paraId="7C82D592" w14:textId="77777777" w:rsidR="009B38FB" w:rsidRPr="009B38FB" w:rsidRDefault="009B38FB" w:rsidP="009B38FB">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lang w:val="en-US"/>
              </w:rPr>
            </w:pPr>
            <w:r w:rsidRPr="009B38FB">
              <w:rPr>
                <w:rFonts w:cs="Arial"/>
                <w:sz w:val="18"/>
                <w:szCs w:val="18"/>
                <w:lang w:val="en-US"/>
              </w:rPr>
              <w:t>Summer PRM excl. OR</w:t>
            </w:r>
          </w:p>
        </w:tc>
        <w:tc>
          <w:tcPr>
            <w:tcW w:w="1728" w:type="dxa"/>
            <w:vAlign w:val="center"/>
          </w:tcPr>
          <w:p w14:paraId="4248422B" w14:textId="77777777" w:rsidR="009B38FB" w:rsidRPr="009B38FB" w:rsidRDefault="009B38FB" w:rsidP="009B38FB">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lang w:val="en-US"/>
              </w:rPr>
            </w:pPr>
            <w:r w:rsidRPr="009B38FB">
              <w:rPr>
                <w:rFonts w:cs="Arial"/>
                <w:sz w:val="18"/>
                <w:szCs w:val="18"/>
                <w:lang w:val="en-US"/>
              </w:rPr>
              <w:t>Winter PRM excl. OR</w:t>
            </w:r>
          </w:p>
        </w:tc>
        <w:tc>
          <w:tcPr>
            <w:tcW w:w="1728" w:type="dxa"/>
            <w:vAlign w:val="center"/>
          </w:tcPr>
          <w:p w14:paraId="691F3679" w14:textId="77777777" w:rsidR="009B38FB" w:rsidRPr="009B38FB" w:rsidRDefault="009B38FB" w:rsidP="009B38FB">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lang w:val="en-US"/>
              </w:rPr>
            </w:pPr>
            <w:r w:rsidRPr="009B38FB">
              <w:rPr>
                <w:rFonts w:cs="Arial"/>
                <w:sz w:val="18"/>
                <w:szCs w:val="18"/>
                <w:lang w:val="en-US"/>
              </w:rPr>
              <w:t>Summer PRM incl. OR</w:t>
            </w:r>
          </w:p>
        </w:tc>
        <w:tc>
          <w:tcPr>
            <w:tcW w:w="1729" w:type="dxa"/>
            <w:vAlign w:val="center"/>
          </w:tcPr>
          <w:p w14:paraId="6D79AB67" w14:textId="77777777" w:rsidR="009B38FB" w:rsidRPr="009B38FB" w:rsidRDefault="009B38FB" w:rsidP="009B38FB">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lang w:val="en-US"/>
              </w:rPr>
            </w:pPr>
            <w:r w:rsidRPr="009B38FB">
              <w:rPr>
                <w:rFonts w:cs="Arial"/>
                <w:sz w:val="18"/>
                <w:szCs w:val="18"/>
                <w:lang w:val="en-US"/>
              </w:rPr>
              <w:t>Winter PRM incl. OR</w:t>
            </w:r>
          </w:p>
        </w:tc>
      </w:tr>
      <w:tr w:rsidR="009B38FB" w:rsidRPr="009B38FB" w14:paraId="2DF69346" w14:textId="77777777" w:rsidTr="004310B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vAlign w:val="bottom"/>
          </w:tcPr>
          <w:p w14:paraId="06B11E6E"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2014</w:t>
            </w:r>
          </w:p>
        </w:tc>
        <w:tc>
          <w:tcPr>
            <w:tcW w:w="1728" w:type="dxa"/>
          </w:tcPr>
          <w:p w14:paraId="53E91C2E"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0.016</w:t>
            </w:r>
          </w:p>
        </w:tc>
        <w:tc>
          <w:tcPr>
            <w:tcW w:w="1728" w:type="dxa"/>
          </w:tcPr>
          <w:p w14:paraId="30EAEFB9"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26%</w:t>
            </w:r>
          </w:p>
        </w:tc>
        <w:tc>
          <w:tcPr>
            <w:tcW w:w="1728" w:type="dxa"/>
          </w:tcPr>
          <w:p w14:paraId="3FFB4BF9"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23%</w:t>
            </w:r>
          </w:p>
        </w:tc>
        <w:tc>
          <w:tcPr>
            <w:tcW w:w="1728" w:type="dxa"/>
          </w:tcPr>
          <w:p w14:paraId="269E590A"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31%</w:t>
            </w:r>
          </w:p>
        </w:tc>
        <w:tc>
          <w:tcPr>
            <w:tcW w:w="1729" w:type="dxa"/>
          </w:tcPr>
          <w:p w14:paraId="23CA9659"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27%</w:t>
            </w:r>
          </w:p>
        </w:tc>
      </w:tr>
      <w:tr w:rsidR="009B38FB" w:rsidRPr="009B38FB" w14:paraId="1DF08BA0" w14:textId="77777777" w:rsidTr="004310B0">
        <w:trPr>
          <w:trHeight w:val="283"/>
        </w:trPr>
        <w:tc>
          <w:tcPr>
            <w:cnfStyle w:val="001000000000" w:firstRow="0" w:lastRow="0" w:firstColumn="1" w:lastColumn="0" w:oddVBand="0" w:evenVBand="0" w:oddHBand="0" w:evenHBand="0" w:firstRowFirstColumn="0" w:firstRowLastColumn="0" w:lastRowFirstColumn="0" w:lastRowLastColumn="0"/>
            <w:tcW w:w="817" w:type="dxa"/>
            <w:vAlign w:val="bottom"/>
          </w:tcPr>
          <w:p w14:paraId="677CAE15"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2015</w:t>
            </w:r>
          </w:p>
        </w:tc>
        <w:tc>
          <w:tcPr>
            <w:tcW w:w="1728" w:type="dxa"/>
          </w:tcPr>
          <w:p w14:paraId="352F4AAC"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0.024</w:t>
            </w:r>
          </w:p>
        </w:tc>
        <w:tc>
          <w:tcPr>
            <w:tcW w:w="1728" w:type="dxa"/>
          </w:tcPr>
          <w:p w14:paraId="725089AA"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28%</w:t>
            </w:r>
          </w:p>
        </w:tc>
        <w:tc>
          <w:tcPr>
            <w:tcW w:w="1728" w:type="dxa"/>
          </w:tcPr>
          <w:p w14:paraId="16BE2F27"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20%</w:t>
            </w:r>
          </w:p>
        </w:tc>
        <w:tc>
          <w:tcPr>
            <w:tcW w:w="1728" w:type="dxa"/>
          </w:tcPr>
          <w:p w14:paraId="1923B054"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34%</w:t>
            </w:r>
          </w:p>
        </w:tc>
        <w:tc>
          <w:tcPr>
            <w:tcW w:w="1729" w:type="dxa"/>
          </w:tcPr>
          <w:p w14:paraId="09305319"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26%</w:t>
            </w:r>
          </w:p>
        </w:tc>
      </w:tr>
      <w:tr w:rsidR="009B38FB" w:rsidRPr="009B38FB" w14:paraId="332C4371" w14:textId="77777777" w:rsidTr="004310B0">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817" w:type="dxa"/>
            <w:vAlign w:val="bottom"/>
          </w:tcPr>
          <w:p w14:paraId="30292CAD"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2016</w:t>
            </w:r>
          </w:p>
        </w:tc>
        <w:tc>
          <w:tcPr>
            <w:tcW w:w="1728" w:type="dxa"/>
          </w:tcPr>
          <w:p w14:paraId="36A3C17D"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0.016</w:t>
            </w:r>
          </w:p>
        </w:tc>
        <w:tc>
          <w:tcPr>
            <w:tcW w:w="1728" w:type="dxa"/>
          </w:tcPr>
          <w:p w14:paraId="4342ADAE"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27%</w:t>
            </w:r>
          </w:p>
        </w:tc>
        <w:tc>
          <w:tcPr>
            <w:tcW w:w="1728" w:type="dxa"/>
          </w:tcPr>
          <w:p w14:paraId="700DBACF"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20%</w:t>
            </w:r>
          </w:p>
        </w:tc>
        <w:tc>
          <w:tcPr>
            <w:tcW w:w="1728" w:type="dxa"/>
          </w:tcPr>
          <w:p w14:paraId="59C485CB"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33%</w:t>
            </w:r>
          </w:p>
        </w:tc>
        <w:tc>
          <w:tcPr>
            <w:tcW w:w="1729" w:type="dxa"/>
          </w:tcPr>
          <w:p w14:paraId="634D9A7B"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26%</w:t>
            </w:r>
          </w:p>
        </w:tc>
      </w:tr>
      <w:tr w:rsidR="009B38FB" w:rsidRPr="009B38FB" w14:paraId="2C7969E7" w14:textId="77777777" w:rsidTr="004310B0">
        <w:trPr>
          <w:trHeight w:val="283"/>
        </w:trPr>
        <w:tc>
          <w:tcPr>
            <w:cnfStyle w:val="001000000000" w:firstRow="0" w:lastRow="0" w:firstColumn="1" w:lastColumn="0" w:oddVBand="0" w:evenVBand="0" w:oddHBand="0" w:evenHBand="0" w:firstRowFirstColumn="0" w:firstRowLastColumn="0" w:lastRowFirstColumn="0" w:lastRowLastColumn="0"/>
            <w:tcW w:w="817" w:type="dxa"/>
            <w:vAlign w:val="bottom"/>
          </w:tcPr>
          <w:p w14:paraId="442408F6"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2017</w:t>
            </w:r>
          </w:p>
        </w:tc>
        <w:tc>
          <w:tcPr>
            <w:tcW w:w="1728" w:type="dxa"/>
          </w:tcPr>
          <w:p w14:paraId="3578A713"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0.009</w:t>
            </w:r>
          </w:p>
        </w:tc>
        <w:tc>
          <w:tcPr>
            <w:tcW w:w="1728" w:type="dxa"/>
          </w:tcPr>
          <w:p w14:paraId="70AE5858"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27%</w:t>
            </w:r>
          </w:p>
        </w:tc>
        <w:tc>
          <w:tcPr>
            <w:tcW w:w="1728" w:type="dxa"/>
          </w:tcPr>
          <w:p w14:paraId="6B801D01"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20%</w:t>
            </w:r>
          </w:p>
        </w:tc>
        <w:tc>
          <w:tcPr>
            <w:tcW w:w="1728" w:type="dxa"/>
          </w:tcPr>
          <w:p w14:paraId="2CE5A514"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32%</w:t>
            </w:r>
          </w:p>
        </w:tc>
        <w:tc>
          <w:tcPr>
            <w:tcW w:w="1729" w:type="dxa"/>
          </w:tcPr>
          <w:p w14:paraId="00FAB188"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26%</w:t>
            </w:r>
          </w:p>
        </w:tc>
      </w:tr>
      <w:tr w:rsidR="009B38FB" w:rsidRPr="009B38FB" w14:paraId="5DA7EC2B" w14:textId="77777777" w:rsidTr="004310B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vAlign w:val="bottom"/>
          </w:tcPr>
          <w:p w14:paraId="48E07EF0"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2018</w:t>
            </w:r>
          </w:p>
        </w:tc>
        <w:tc>
          <w:tcPr>
            <w:tcW w:w="1728" w:type="dxa"/>
          </w:tcPr>
          <w:p w14:paraId="67728F1F"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0.016</w:t>
            </w:r>
          </w:p>
        </w:tc>
        <w:tc>
          <w:tcPr>
            <w:tcW w:w="1728" w:type="dxa"/>
          </w:tcPr>
          <w:p w14:paraId="30E976D3"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25%</w:t>
            </w:r>
          </w:p>
        </w:tc>
        <w:tc>
          <w:tcPr>
            <w:tcW w:w="1728" w:type="dxa"/>
          </w:tcPr>
          <w:p w14:paraId="078038F9"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20%</w:t>
            </w:r>
          </w:p>
        </w:tc>
        <w:tc>
          <w:tcPr>
            <w:tcW w:w="1728" w:type="dxa"/>
          </w:tcPr>
          <w:p w14:paraId="5D166466"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31%</w:t>
            </w:r>
          </w:p>
        </w:tc>
        <w:tc>
          <w:tcPr>
            <w:tcW w:w="1729" w:type="dxa"/>
          </w:tcPr>
          <w:p w14:paraId="3F1682E2"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25%</w:t>
            </w:r>
          </w:p>
        </w:tc>
      </w:tr>
      <w:tr w:rsidR="009B38FB" w:rsidRPr="009B38FB" w14:paraId="5A2C41F7" w14:textId="77777777" w:rsidTr="004310B0">
        <w:trPr>
          <w:trHeight w:val="283"/>
        </w:trPr>
        <w:tc>
          <w:tcPr>
            <w:cnfStyle w:val="001000000000" w:firstRow="0" w:lastRow="0" w:firstColumn="1" w:lastColumn="0" w:oddVBand="0" w:evenVBand="0" w:oddHBand="0" w:evenHBand="0" w:firstRowFirstColumn="0" w:firstRowLastColumn="0" w:lastRowFirstColumn="0" w:lastRowLastColumn="0"/>
            <w:tcW w:w="817" w:type="dxa"/>
            <w:vAlign w:val="bottom"/>
          </w:tcPr>
          <w:p w14:paraId="0E1C262F"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2019</w:t>
            </w:r>
          </w:p>
        </w:tc>
        <w:tc>
          <w:tcPr>
            <w:tcW w:w="1728" w:type="dxa"/>
          </w:tcPr>
          <w:p w14:paraId="68F19683"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0.020</w:t>
            </w:r>
          </w:p>
        </w:tc>
        <w:tc>
          <w:tcPr>
            <w:tcW w:w="1728" w:type="dxa"/>
          </w:tcPr>
          <w:p w14:paraId="17281DB2"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25%</w:t>
            </w:r>
          </w:p>
        </w:tc>
        <w:tc>
          <w:tcPr>
            <w:tcW w:w="1728" w:type="dxa"/>
          </w:tcPr>
          <w:p w14:paraId="79080409"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20%</w:t>
            </w:r>
          </w:p>
        </w:tc>
        <w:tc>
          <w:tcPr>
            <w:tcW w:w="1728" w:type="dxa"/>
          </w:tcPr>
          <w:p w14:paraId="438FCD52"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31%</w:t>
            </w:r>
          </w:p>
        </w:tc>
        <w:tc>
          <w:tcPr>
            <w:tcW w:w="1729" w:type="dxa"/>
          </w:tcPr>
          <w:p w14:paraId="7EC4ACF5"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25%</w:t>
            </w:r>
          </w:p>
        </w:tc>
      </w:tr>
      <w:tr w:rsidR="009B38FB" w:rsidRPr="009B38FB" w14:paraId="4B2F7C58" w14:textId="77777777" w:rsidTr="004310B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vAlign w:val="bottom"/>
          </w:tcPr>
          <w:p w14:paraId="6EEB9072"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2020</w:t>
            </w:r>
          </w:p>
        </w:tc>
        <w:tc>
          <w:tcPr>
            <w:tcW w:w="1728" w:type="dxa"/>
          </w:tcPr>
          <w:p w14:paraId="5E115EF2"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0.015</w:t>
            </w:r>
          </w:p>
        </w:tc>
        <w:tc>
          <w:tcPr>
            <w:tcW w:w="1728" w:type="dxa"/>
          </w:tcPr>
          <w:p w14:paraId="5B745BBB"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25%</w:t>
            </w:r>
          </w:p>
        </w:tc>
        <w:tc>
          <w:tcPr>
            <w:tcW w:w="1728" w:type="dxa"/>
          </w:tcPr>
          <w:p w14:paraId="19EFEB67"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19%</w:t>
            </w:r>
          </w:p>
        </w:tc>
        <w:tc>
          <w:tcPr>
            <w:tcW w:w="1728" w:type="dxa"/>
          </w:tcPr>
          <w:p w14:paraId="2426996C"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30%</w:t>
            </w:r>
          </w:p>
        </w:tc>
        <w:tc>
          <w:tcPr>
            <w:tcW w:w="1729" w:type="dxa"/>
          </w:tcPr>
          <w:p w14:paraId="77D89740"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25%</w:t>
            </w:r>
          </w:p>
        </w:tc>
      </w:tr>
      <w:tr w:rsidR="009B38FB" w:rsidRPr="009B38FB" w14:paraId="3394D589" w14:textId="77777777" w:rsidTr="004310B0">
        <w:trPr>
          <w:trHeight w:val="283"/>
        </w:trPr>
        <w:tc>
          <w:tcPr>
            <w:cnfStyle w:val="001000000000" w:firstRow="0" w:lastRow="0" w:firstColumn="1" w:lastColumn="0" w:oddVBand="0" w:evenVBand="0" w:oddHBand="0" w:evenHBand="0" w:firstRowFirstColumn="0" w:firstRowLastColumn="0" w:lastRowFirstColumn="0" w:lastRowLastColumn="0"/>
            <w:tcW w:w="817" w:type="dxa"/>
            <w:vAlign w:val="bottom"/>
          </w:tcPr>
          <w:p w14:paraId="77C20CD0"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2025</w:t>
            </w:r>
          </w:p>
        </w:tc>
        <w:tc>
          <w:tcPr>
            <w:tcW w:w="1728" w:type="dxa"/>
          </w:tcPr>
          <w:p w14:paraId="6A728763"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0.021</w:t>
            </w:r>
          </w:p>
        </w:tc>
        <w:tc>
          <w:tcPr>
            <w:tcW w:w="1728" w:type="dxa"/>
          </w:tcPr>
          <w:p w14:paraId="46C0DCAC"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24%</w:t>
            </w:r>
          </w:p>
        </w:tc>
        <w:tc>
          <w:tcPr>
            <w:tcW w:w="1728" w:type="dxa"/>
          </w:tcPr>
          <w:p w14:paraId="6FDE880D"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19%</w:t>
            </w:r>
          </w:p>
        </w:tc>
        <w:tc>
          <w:tcPr>
            <w:tcW w:w="1728" w:type="dxa"/>
          </w:tcPr>
          <w:p w14:paraId="47164532"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29%</w:t>
            </w:r>
          </w:p>
        </w:tc>
        <w:tc>
          <w:tcPr>
            <w:tcW w:w="1729" w:type="dxa"/>
          </w:tcPr>
          <w:p w14:paraId="3C696D59"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24%</w:t>
            </w:r>
          </w:p>
        </w:tc>
      </w:tr>
      <w:tr w:rsidR="009B38FB" w:rsidRPr="009B38FB" w14:paraId="0F956512" w14:textId="77777777" w:rsidTr="004310B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817" w:type="dxa"/>
            <w:vAlign w:val="bottom"/>
          </w:tcPr>
          <w:p w14:paraId="6FD0B951"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2030</w:t>
            </w:r>
          </w:p>
        </w:tc>
        <w:tc>
          <w:tcPr>
            <w:tcW w:w="1728" w:type="dxa"/>
          </w:tcPr>
          <w:p w14:paraId="35623C62"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0.024</w:t>
            </w:r>
          </w:p>
        </w:tc>
        <w:tc>
          <w:tcPr>
            <w:tcW w:w="1728" w:type="dxa"/>
          </w:tcPr>
          <w:p w14:paraId="14B33B12"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27%</w:t>
            </w:r>
          </w:p>
        </w:tc>
        <w:tc>
          <w:tcPr>
            <w:tcW w:w="1728" w:type="dxa"/>
          </w:tcPr>
          <w:p w14:paraId="3AEDCF3F"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18%</w:t>
            </w:r>
          </w:p>
        </w:tc>
        <w:tc>
          <w:tcPr>
            <w:tcW w:w="1728" w:type="dxa"/>
          </w:tcPr>
          <w:p w14:paraId="50347615"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32%</w:t>
            </w:r>
          </w:p>
        </w:tc>
        <w:tc>
          <w:tcPr>
            <w:tcW w:w="1729" w:type="dxa"/>
          </w:tcPr>
          <w:p w14:paraId="07A2E770"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23%</w:t>
            </w:r>
          </w:p>
        </w:tc>
      </w:tr>
      <w:tr w:rsidR="009B38FB" w:rsidRPr="009B38FB" w14:paraId="5BF1875F" w14:textId="77777777" w:rsidTr="004310B0">
        <w:trPr>
          <w:trHeight w:val="283"/>
        </w:trPr>
        <w:tc>
          <w:tcPr>
            <w:cnfStyle w:val="001000000000" w:firstRow="0" w:lastRow="0" w:firstColumn="1" w:lastColumn="0" w:oddVBand="0" w:evenVBand="0" w:oddHBand="0" w:evenHBand="0" w:firstRowFirstColumn="0" w:firstRowLastColumn="0" w:lastRowFirstColumn="0" w:lastRowLastColumn="0"/>
            <w:tcW w:w="817" w:type="dxa"/>
            <w:vAlign w:val="bottom"/>
          </w:tcPr>
          <w:p w14:paraId="71530B8C"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2033</w:t>
            </w:r>
          </w:p>
        </w:tc>
        <w:tc>
          <w:tcPr>
            <w:tcW w:w="1728" w:type="dxa"/>
          </w:tcPr>
          <w:p w14:paraId="19EEF9EA"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0.030</w:t>
            </w:r>
          </w:p>
        </w:tc>
        <w:tc>
          <w:tcPr>
            <w:tcW w:w="1728" w:type="dxa"/>
          </w:tcPr>
          <w:p w14:paraId="7FF649D0"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24%</w:t>
            </w:r>
          </w:p>
        </w:tc>
        <w:tc>
          <w:tcPr>
            <w:tcW w:w="1728" w:type="dxa"/>
          </w:tcPr>
          <w:p w14:paraId="267ABF87"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17%</w:t>
            </w:r>
          </w:p>
        </w:tc>
        <w:tc>
          <w:tcPr>
            <w:tcW w:w="1728" w:type="dxa"/>
          </w:tcPr>
          <w:p w14:paraId="4E126766"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29%</w:t>
            </w:r>
          </w:p>
        </w:tc>
        <w:tc>
          <w:tcPr>
            <w:tcW w:w="1729" w:type="dxa"/>
          </w:tcPr>
          <w:p w14:paraId="3315873A"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23%</w:t>
            </w:r>
          </w:p>
        </w:tc>
      </w:tr>
    </w:tbl>
    <w:p w14:paraId="5BE33667" w14:textId="77777777" w:rsidR="009B38FB" w:rsidRPr="009B38FB" w:rsidRDefault="009B38FB" w:rsidP="009B38FB">
      <w:pPr>
        <w:rPr>
          <w:i/>
          <w:lang w:val="en-US"/>
        </w:rPr>
      </w:pPr>
    </w:p>
    <w:p w14:paraId="36AB0707" w14:textId="77777777" w:rsidR="009B38FB" w:rsidRPr="009B38FB" w:rsidRDefault="009B38FB" w:rsidP="009B38FB">
      <w:pPr>
        <w:rPr>
          <w:i/>
          <w:lang w:val="en-US"/>
        </w:rPr>
      </w:pPr>
      <w:r w:rsidRPr="009B38FB">
        <w:rPr>
          <w:i/>
          <w:lang w:val="en-US"/>
        </w:rPr>
        <w:t>Remarks:</w:t>
      </w:r>
    </w:p>
    <w:p w14:paraId="5A3969D0" w14:textId="77777777" w:rsidR="009B38FB" w:rsidRPr="009B38FB" w:rsidRDefault="009B38FB" w:rsidP="009B38FB">
      <w:pPr>
        <w:rPr>
          <w:lang w:val="en-US"/>
        </w:rPr>
      </w:pPr>
      <w:r w:rsidRPr="009B38FB">
        <w:rPr>
          <w:lang w:val="en-US"/>
        </w:rPr>
        <w:t xml:space="preserve">PRM values (%) were calculated for each month in each year in the planning horizon, taking into account both the inclusion and exclusion of OR. Winter and summer PRM values (%) will be presented as PRM values for December and </w:t>
      </w:r>
      <w:r w:rsidRPr="009B38FB">
        <w:rPr>
          <w:lang w:val="en-US"/>
        </w:rPr>
        <w:lastRenderedPageBreak/>
        <w:t xml:space="preserve">July respectively. Being a winter peaking utility, the Company has a lower PRM in the winter. The high values of PRM were obtained largely due to the fact that 150MW of market import was used in the PRM calculation. </w:t>
      </w:r>
    </w:p>
    <w:p w14:paraId="679D3B55" w14:textId="77777777" w:rsidR="009B38FB" w:rsidRPr="009B38FB" w:rsidRDefault="009B38FB" w:rsidP="009B38FB">
      <w:pPr>
        <w:keepNext/>
        <w:spacing w:after="120" w:line="240" w:lineRule="auto"/>
        <w:jc w:val="center"/>
        <w:rPr>
          <w:rFonts w:eastAsia="Times New Roman" w:cs="Times New Roman"/>
          <w:b/>
          <w:sz w:val="20"/>
          <w:szCs w:val="20"/>
          <w:lang w:val="en-US"/>
        </w:rPr>
      </w:pPr>
      <w:bookmarkStart w:id="156" w:name="_Ref381967411"/>
      <w:bookmarkStart w:id="157" w:name="_Toc383169330"/>
      <w:r w:rsidRPr="009B38FB">
        <w:rPr>
          <w:rFonts w:eastAsia="Times New Roman" w:cs="Times New Roman"/>
          <w:b/>
          <w:sz w:val="20"/>
          <w:szCs w:val="20"/>
          <w:lang w:val="en-GB"/>
        </w:rPr>
        <w:t xml:space="preserve">Table </w:t>
      </w:r>
      <w:bookmarkEnd w:id="156"/>
      <w:r w:rsidRPr="009B38FB">
        <w:rPr>
          <w:rFonts w:eastAsia="Times New Roman" w:cs="Times New Roman"/>
          <w:b/>
          <w:sz w:val="20"/>
          <w:szCs w:val="20"/>
          <w:lang w:val="en-GB"/>
        </w:rPr>
        <w:t xml:space="preserve">E-3:  Case 0 - Winter </w:t>
      </w:r>
      <w:r w:rsidRPr="009B38FB">
        <w:rPr>
          <w:rFonts w:eastAsia="Times New Roman" w:cs="Times New Roman"/>
          <w:b/>
          <w:sz w:val="20"/>
          <w:szCs w:val="20"/>
          <w:lang w:val="en-US"/>
        </w:rPr>
        <w:t xml:space="preserve">PRM </w:t>
      </w:r>
      <w:bookmarkEnd w:id="157"/>
      <w:r w:rsidRPr="009B38FB">
        <w:rPr>
          <w:rFonts w:eastAsia="Times New Roman" w:cs="Times New Roman"/>
          <w:b/>
          <w:sz w:val="20"/>
          <w:szCs w:val="20"/>
          <w:lang w:val="en-US"/>
        </w:rPr>
        <w:t>Calculation Detail</w:t>
      </w:r>
    </w:p>
    <w:tbl>
      <w:tblPr>
        <w:tblStyle w:val="LightList-Accent111"/>
        <w:tblW w:w="5000" w:type="pct"/>
        <w:tblLook w:val="04A0" w:firstRow="1" w:lastRow="0" w:firstColumn="1" w:lastColumn="0" w:noHBand="0" w:noVBand="1"/>
      </w:tblPr>
      <w:tblGrid>
        <w:gridCol w:w="617"/>
        <w:gridCol w:w="1114"/>
        <w:gridCol w:w="1113"/>
        <w:gridCol w:w="1166"/>
        <w:gridCol w:w="1113"/>
        <w:gridCol w:w="1113"/>
        <w:gridCol w:w="1113"/>
        <w:gridCol w:w="2227"/>
      </w:tblGrid>
      <w:tr w:rsidR="009B38FB" w:rsidRPr="009B38FB" w14:paraId="7DBE0BA1" w14:textId="77777777" w:rsidTr="00431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 w:type="pct"/>
            <w:vAlign w:val="center"/>
          </w:tcPr>
          <w:p w14:paraId="15FA25DD" w14:textId="77777777" w:rsidR="009B38FB" w:rsidRPr="009B38FB" w:rsidRDefault="009B38FB" w:rsidP="009B38FB">
            <w:pPr>
              <w:keepNext/>
              <w:spacing w:before="40" w:after="40"/>
              <w:jc w:val="center"/>
              <w:rPr>
                <w:rFonts w:cs="Arial"/>
                <w:sz w:val="18"/>
                <w:szCs w:val="18"/>
              </w:rPr>
            </w:pPr>
            <w:r w:rsidRPr="009B38FB">
              <w:rPr>
                <w:rFonts w:cs="Arial"/>
                <w:sz w:val="18"/>
                <w:szCs w:val="18"/>
              </w:rPr>
              <w:t>Year</w:t>
            </w:r>
          </w:p>
        </w:tc>
        <w:tc>
          <w:tcPr>
            <w:tcW w:w="582" w:type="pct"/>
            <w:vAlign w:val="center"/>
          </w:tcPr>
          <w:p w14:paraId="388B5E09" w14:textId="77777777" w:rsidR="009B38FB" w:rsidRPr="009B38FB" w:rsidRDefault="009B38FB" w:rsidP="009B38FB">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B38FB">
              <w:rPr>
                <w:rFonts w:cs="Arial"/>
                <w:sz w:val="18"/>
                <w:szCs w:val="18"/>
              </w:rPr>
              <w:t xml:space="preserve">Winter Peak </w:t>
            </w:r>
          </w:p>
          <w:p w14:paraId="55A35570" w14:textId="77777777" w:rsidR="009B38FB" w:rsidRPr="009B38FB" w:rsidRDefault="009B38FB" w:rsidP="009B38FB">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B38FB">
              <w:rPr>
                <w:rFonts w:cs="Arial"/>
                <w:sz w:val="18"/>
                <w:szCs w:val="18"/>
              </w:rPr>
              <w:t>(1)</w:t>
            </w:r>
          </w:p>
        </w:tc>
        <w:tc>
          <w:tcPr>
            <w:tcW w:w="581" w:type="pct"/>
            <w:vAlign w:val="center"/>
          </w:tcPr>
          <w:p w14:paraId="76117F2D" w14:textId="77777777" w:rsidR="009B38FB" w:rsidRPr="009B38FB" w:rsidRDefault="009B38FB" w:rsidP="009B38FB">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B38FB">
              <w:rPr>
                <w:rFonts w:cs="Arial"/>
                <w:sz w:val="18"/>
                <w:szCs w:val="18"/>
              </w:rPr>
              <w:t>Total Resource Capacity without OR (2)</w:t>
            </w:r>
          </w:p>
        </w:tc>
        <w:tc>
          <w:tcPr>
            <w:tcW w:w="609" w:type="pct"/>
          </w:tcPr>
          <w:p w14:paraId="1848EB38" w14:textId="77777777" w:rsidR="009B38FB" w:rsidRPr="009B38FB" w:rsidRDefault="009B38FB" w:rsidP="009B38FB">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B38FB">
              <w:rPr>
                <w:rFonts w:cs="Arial"/>
                <w:sz w:val="18"/>
                <w:szCs w:val="18"/>
              </w:rPr>
              <w:t>WAX Unit Contingent Surplus</w:t>
            </w:r>
          </w:p>
          <w:p w14:paraId="40747F36" w14:textId="77777777" w:rsidR="009B38FB" w:rsidRPr="009B38FB" w:rsidRDefault="009B38FB" w:rsidP="009B38FB">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B38FB">
              <w:rPr>
                <w:rFonts w:cs="Arial"/>
                <w:sz w:val="18"/>
                <w:szCs w:val="18"/>
              </w:rPr>
              <w:t>(3)</w:t>
            </w:r>
          </w:p>
        </w:tc>
        <w:tc>
          <w:tcPr>
            <w:tcW w:w="581" w:type="pct"/>
          </w:tcPr>
          <w:p w14:paraId="5041197A" w14:textId="77777777" w:rsidR="009B38FB" w:rsidRPr="009B38FB" w:rsidRDefault="009B38FB" w:rsidP="009B38FB">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B38FB">
              <w:rPr>
                <w:rFonts w:cs="Arial"/>
                <w:sz w:val="18"/>
                <w:szCs w:val="18"/>
              </w:rPr>
              <w:t>Acquired Capacity for Gaps</w:t>
            </w:r>
          </w:p>
          <w:p w14:paraId="6C7B3582" w14:textId="77777777" w:rsidR="009B38FB" w:rsidRPr="009B38FB" w:rsidRDefault="009B38FB" w:rsidP="009B38FB">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B38FB">
              <w:rPr>
                <w:rFonts w:cs="Arial"/>
                <w:sz w:val="18"/>
                <w:szCs w:val="18"/>
              </w:rPr>
              <w:t xml:space="preserve"> (4)</w:t>
            </w:r>
          </w:p>
        </w:tc>
        <w:tc>
          <w:tcPr>
            <w:tcW w:w="581" w:type="pct"/>
          </w:tcPr>
          <w:p w14:paraId="4DC0B469" w14:textId="77777777" w:rsidR="009B38FB" w:rsidRPr="009B38FB" w:rsidRDefault="009B38FB" w:rsidP="009B38FB">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B38FB">
              <w:rPr>
                <w:rFonts w:cs="Arial"/>
                <w:sz w:val="18"/>
                <w:szCs w:val="18"/>
              </w:rPr>
              <w:t xml:space="preserve">Operating Reserve </w:t>
            </w:r>
          </w:p>
          <w:p w14:paraId="74D60778" w14:textId="77777777" w:rsidR="009B38FB" w:rsidRPr="009B38FB" w:rsidRDefault="009B38FB" w:rsidP="009B38FB">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B38FB">
              <w:rPr>
                <w:rFonts w:cs="Arial"/>
                <w:sz w:val="18"/>
                <w:szCs w:val="18"/>
              </w:rPr>
              <w:t xml:space="preserve"> (5)</w:t>
            </w:r>
          </w:p>
        </w:tc>
        <w:tc>
          <w:tcPr>
            <w:tcW w:w="581" w:type="pct"/>
            <w:vAlign w:val="center"/>
          </w:tcPr>
          <w:p w14:paraId="51E972F0" w14:textId="77777777" w:rsidR="009B38FB" w:rsidRPr="009B38FB" w:rsidRDefault="009B38FB" w:rsidP="009B38FB">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B38FB">
              <w:rPr>
                <w:rFonts w:cs="Arial"/>
                <w:sz w:val="18"/>
                <w:szCs w:val="18"/>
              </w:rPr>
              <w:t>Market Access</w:t>
            </w:r>
          </w:p>
          <w:p w14:paraId="03EB5435" w14:textId="77777777" w:rsidR="009B38FB" w:rsidRPr="009B38FB" w:rsidRDefault="009B38FB" w:rsidP="009B38FB">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B38FB">
              <w:rPr>
                <w:rFonts w:cs="Arial"/>
                <w:sz w:val="18"/>
                <w:szCs w:val="18"/>
              </w:rPr>
              <w:t xml:space="preserve"> (6)</w:t>
            </w:r>
          </w:p>
        </w:tc>
        <w:tc>
          <w:tcPr>
            <w:tcW w:w="1163" w:type="pct"/>
            <w:vAlign w:val="center"/>
          </w:tcPr>
          <w:p w14:paraId="760A21C2" w14:textId="77777777" w:rsidR="009B38FB" w:rsidRPr="009B38FB" w:rsidRDefault="009B38FB" w:rsidP="009B38FB">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B38FB">
              <w:rPr>
                <w:rFonts w:cs="Arial"/>
                <w:sz w:val="18"/>
                <w:szCs w:val="18"/>
              </w:rPr>
              <w:t>PRM =((2)-(3)+(4)+(5)+(6)-(1))/(1) *100%</w:t>
            </w:r>
          </w:p>
        </w:tc>
      </w:tr>
      <w:tr w:rsidR="009B38FB" w:rsidRPr="009B38FB" w14:paraId="68597DD6" w14:textId="77777777" w:rsidTr="004310B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 w:type="pct"/>
            <w:vAlign w:val="bottom"/>
          </w:tcPr>
          <w:p w14:paraId="7ED11EF0"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2014</w:t>
            </w:r>
          </w:p>
        </w:tc>
        <w:tc>
          <w:tcPr>
            <w:tcW w:w="582" w:type="pct"/>
          </w:tcPr>
          <w:p w14:paraId="379CDC57"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733 </w:t>
            </w:r>
          </w:p>
        </w:tc>
        <w:tc>
          <w:tcPr>
            <w:tcW w:w="581" w:type="pct"/>
          </w:tcPr>
          <w:p w14:paraId="17BDD8E3"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749 </w:t>
            </w:r>
          </w:p>
        </w:tc>
        <w:tc>
          <w:tcPr>
            <w:tcW w:w="609" w:type="pct"/>
          </w:tcPr>
          <w:p w14:paraId="693649CA"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0</w:t>
            </w:r>
          </w:p>
        </w:tc>
        <w:tc>
          <w:tcPr>
            <w:tcW w:w="581" w:type="pct"/>
          </w:tcPr>
          <w:p w14:paraId="62B9B59A"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   </w:t>
            </w:r>
          </w:p>
        </w:tc>
        <w:tc>
          <w:tcPr>
            <w:tcW w:w="581" w:type="pct"/>
          </w:tcPr>
          <w:p w14:paraId="0978D261"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29 </w:t>
            </w:r>
          </w:p>
        </w:tc>
        <w:tc>
          <w:tcPr>
            <w:tcW w:w="581" w:type="pct"/>
          </w:tcPr>
          <w:p w14:paraId="7B2B8942"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150 </w:t>
            </w:r>
          </w:p>
        </w:tc>
        <w:tc>
          <w:tcPr>
            <w:tcW w:w="1163" w:type="pct"/>
          </w:tcPr>
          <w:p w14:paraId="503DA7C1"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27%</w:t>
            </w:r>
          </w:p>
        </w:tc>
      </w:tr>
      <w:tr w:rsidR="009B38FB" w:rsidRPr="009B38FB" w14:paraId="32A0AC9D" w14:textId="77777777" w:rsidTr="004310B0">
        <w:trPr>
          <w:trHeight w:val="283"/>
        </w:trPr>
        <w:tc>
          <w:tcPr>
            <w:cnfStyle w:val="001000000000" w:firstRow="0" w:lastRow="0" w:firstColumn="1" w:lastColumn="0" w:oddVBand="0" w:evenVBand="0" w:oddHBand="0" w:evenHBand="0" w:firstRowFirstColumn="0" w:firstRowLastColumn="0" w:lastRowFirstColumn="0" w:lastRowLastColumn="0"/>
            <w:tcW w:w="322" w:type="pct"/>
            <w:vAlign w:val="bottom"/>
          </w:tcPr>
          <w:p w14:paraId="4C3D7C11"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2015</w:t>
            </w:r>
          </w:p>
        </w:tc>
        <w:tc>
          <w:tcPr>
            <w:tcW w:w="582" w:type="pct"/>
          </w:tcPr>
          <w:p w14:paraId="6DCD85A5"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739 </w:t>
            </w:r>
          </w:p>
        </w:tc>
        <w:tc>
          <w:tcPr>
            <w:tcW w:w="581" w:type="pct"/>
          </w:tcPr>
          <w:p w14:paraId="008CF33F"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813 </w:t>
            </w:r>
          </w:p>
        </w:tc>
        <w:tc>
          <w:tcPr>
            <w:tcW w:w="609" w:type="pct"/>
          </w:tcPr>
          <w:p w14:paraId="3A5C655E"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74</w:t>
            </w:r>
          </w:p>
        </w:tc>
        <w:tc>
          <w:tcPr>
            <w:tcW w:w="581" w:type="pct"/>
          </w:tcPr>
          <w:p w14:paraId="05A9AACF"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   </w:t>
            </w:r>
          </w:p>
        </w:tc>
        <w:tc>
          <w:tcPr>
            <w:tcW w:w="581" w:type="pct"/>
          </w:tcPr>
          <w:p w14:paraId="590A761A"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46 </w:t>
            </w:r>
          </w:p>
        </w:tc>
        <w:tc>
          <w:tcPr>
            <w:tcW w:w="581" w:type="pct"/>
          </w:tcPr>
          <w:p w14:paraId="0161B86A"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150 </w:t>
            </w:r>
          </w:p>
        </w:tc>
        <w:tc>
          <w:tcPr>
            <w:tcW w:w="1163" w:type="pct"/>
          </w:tcPr>
          <w:p w14:paraId="1CEC5C61"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26%</w:t>
            </w:r>
          </w:p>
        </w:tc>
      </w:tr>
      <w:tr w:rsidR="009B38FB" w:rsidRPr="009B38FB" w14:paraId="74BE10CB" w14:textId="77777777" w:rsidTr="004310B0">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322" w:type="pct"/>
            <w:vAlign w:val="bottom"/>
          </w:tcPr>
          <w:p w14:paraId="590ACAED"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2016</w:t>
            </w:r>
          </w:p>
        </w:tc>
        <w:tc>
          <w:tcPr>
            <w:tcW w:w="582" w:type="pct"/>
          </w:tcPr>
          <w:p w14:paraId="0E17DE06"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743 </w:t>
            </w:r>
          </w:p>
        </w:tc>
        <w:tc>
          <w:tcPr>
            <w:tcW w:w="581" w:type="pct"/>
          </w:tcPr>
          <w:p w14:paraId="44AD47F9"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813 </w:t>
            </w:r>
          </w:p>
        </w:tc>
        <w:tc>
          <w:tcPr>
            <w:tcW w:w="609" w:type="pct"/>
          </w:tcPr>
          <w:p w14:paraId="46AEF359"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69</w:t>
            </w:r>
          </w:p>
        </w:tc>
        <w:tc>
          <w:tcPr>
            <w:tcW w:w="581" w:type="pct"/>
          </w:tcPr>
          <w:p w14:paraId="40BA79A5"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   </w:t>
            </w:r>
          </w:p>
        </w:tc>
        <w:tc>
          <w:tcPr>
            <w:tcW w:w="581" w:type="pct"/>
          </w:tcPr>
          <w:p w14:paraId="4CD98063"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46 </w:t>
            </w:r>
          </w:p>
        </w:tc>
        <w:tc>
          <w:tcPr>
            <w:tcW w:w="581" w:type="pct"/>
          </w:tcPr>
          <w:p w14:paraId="4F1F40D0"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150 </w:t>
            </w:r>
          </w:p>
        </w:tc>
        <w:tc>
          <w:tcPr>
            <w:tcW w:w="1163" w:type="pct"/>
          </w:tcPr>
          <w:p w14:paraId="7D064626"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26%</w:t>
            </w:r>
          </w:p>
        </w:tc>
      </w:tr>
      <w:tr w:rsidR="009B38FB" w:rsidRPr="009B38FB" w14:paraId="1260B01A" w14:textId="77777777" w:rsidTr="004310B0">
        <w:trPr>
          <w:trHeight w:val="283"/>
        </w:trPr>
        <w:tc>
          <w:tcPr>
            <w:cnfStyle w:val="001000000000" w:firstRow="0" w:lastRow="0" w:firstColumn="1" w:lastColumn="0" w:oddVBand="0" w:evenVBand="0" w:oddHBand="0" w:evenHBand="0" w:firstRowFirstColumn="0" w:firstRowLastColumn="0" w:lastRowFirstColumn="0" w:lastRowLastColumn="0"/>
            <w:tcW w:w="322" w:type="pct"/>
            <w:vAlign w:val="bottom"/>
          </w:tcPr>
          <w:p w14:paraId="3A9738A7"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2017</w:t>
            </w:r>
          </w:p>
        </w:tc>
        <w:tc>
          <w:tcPr>
            <w:tcW w:w="582" w:type="pct"/>
          </w:tcPr>
          <w:p w14:paraId="566530B7"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750 </w:t>
            </w:r>
          </w:p>
        </w:tc>
        <w:tc>
          <w:tcPr>
            <w:tcW w:w="581" w:type="pct"/>
          </w:tcPr>
          <w:p w14:paraId="030AB25A"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813 </w:t>
            </w:r>
          </w:p>
        </w:tc>
        <w:tc>
          <w:tcPr>
            <w:tcW w:w="609" w:type="pct"/>
          </w:tcPr>
          <w:p w14:paraId="4C68E051"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63</w:t>
            </w:r>
          </w:p>
        </w:tc>
        <w:tc>
          <w:tcPr>
            <w:tcW w:w="581" w:type="pct"/>
          </w:tcPr>
          <w:p w14:paraId="6E72510D"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   </w:t>
            </w:r>
          </w:p>
        </w:tc>
        <w:tc>
          <w:tcPr>
            <w:tcW w:w="581" w:type="pct"/>
          </w:tcPr>
          <w:p w14:paraId="329C5776"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46 </w:t>
            </w:r>
          </w:p>
        </w:tc>
        <w:tc>
          <w:tcPr>
            <w:tcW w:w="581" w:type="pct"/>
          </w:tcPr>
          <w:p w14:paraId="32D40789"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150 </w:t>
            </w:r>
          </w:p>
        </w:tc>
        <w:tc>
          <w:tcPr>
            <w:tcW w:w="1163" w:type="pct"/>
          </w:tcPr>
          <w:p w14:paraId="0B31D90E"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26%</w:t>
            </w:r>
          </w:p>
        </w:tc>
      </w:tr>
      <w:tr w:rsidR="009B38FB" w:rsidRPr="009B38FB" w14:paraId="1F6F8886" w14:textId="77777777" w:rsidTr="004310B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 w:type="pct"/>
            <w:vAlign w:val="bottom"/>
          </w:tcPr>
          <w:p w14:paraId="225089E6"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2018</w:t>
            </w:r>
          </w:p>
        </w:tc>
        <w:tc>
          <w:tcPr>
            <w:tcW w:w="582" w:type="pct"/>
          </w:tcPr>
          <w:p w14:paraId="06C6F5BB"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756 </w:t>
            </w:r>
          </w:p>
        </w:tc>
        <w:tc>
          <w:tcPr>
            <w:tcW w:w="581" w:type="pct"/>
          </w:tcPr>
          <w:p w14:paraId="19CDAAC1"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774 </w:t>
            </w:r>
          </w:p>
        </w:tc>
        <w:tc>
          <w:tcPr>
            <w:tcW w:w="609" w:type="pct"/>
          </w:tcPr>
          <w:p w14:paraId="021C5AD9"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18</w:t>
            </w:r>
          </w:p>
        </w:tc>
        <w:tc>
          <w:tcPr>
            <w:tcW w:w="581" w:type="pct"/>
          </w:tcPr>
          <w:p w14:paraId="14D5FB2B"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   </w:t>
            </w:r>
          </w:p>
        </w:tc>
        <w:tc>
          <w:tcPr>
            <w:tcW w:w="581" w:type="pct"/>
          </w:tcPr>
          <w:p w14:paraId="70116D46"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43 </w:t>
            </w:r>
          </w:p>
        </w:tc>
        <w:tc>
          <w:tcPr>
            <w:tcW w:w="581" w:type="pct"/>
          </w:tcPr>
          <w:p w14:paraId="679A004D"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150 </w:t>
            </w:r>
          </w:p>
        </w:tc>
        <w:tc>
          <w:tcPr>
            <w:tcW w:w="1163" w:type="pct"/>
          </w:tcPr>
          <w:p w14:paraId="1A0A7D24"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25%</w:t>
            </w:r>
          </w:p>
        </w:tc>
      </w:tr>
      <w:tr w:rsidR="009B38FB" w:rsidRPr="009B38FB" w14:paraId="1CF02F3A" w14:textId="77777777" w:rsidTr="004310B0">
        <w:trPr>
          <w:trHeight w:val="283"/>
        </w:trPr>
        <w:tc>
          <w:tcPr>
            <w:cnfStyle w:val="001000000000" w:firstRow="0" w:lastRow="0" w:firstColumn="1" w:lastColumn="0" w:oddVBand="0" w:evenVBand="0" w:oddHBand="0" w:evenHBand="0" w:firstRowFirstColumn="0" w:firstRowLastColumn="0" w:lastRowFirstColumn="0" w:lastRowLastColumn="0"/>
            <w:tcW w:w="322" w:type="pct"/>
            <w:vAlign w:val="bottom"/>
          </w:tcPr>
          <w:p w14:paraId="14D54A3C"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2019</w:t>
            </w:r>
          </w:p>
        </w:tc>
        <w:tc>
          <w:tcPr>
            <w:tcW w:w="582" w:type="pct"/>
          </w:tcPr>
          <w:p w14:paraId="558D9332"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763 </w:t>
            </w:r>
          </w:p>
        </w:tc>
        <w:tc>
          <w:tcPr>
            <w:tcW w:w="581" w:type="pct"/>
          </w:tcPr>
          <w:p w14:paraId="3354D63B"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774 </w:t>
            </w:r>
          </w:p>
        </w:tc>
        <w:tc>
          <w:tcPr>
            <w:tcW w:w="609" w:type="pct"/>
          </w:tcPr>
          <w:p w14:paraId="58AB72F1"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11</w:t>
            </w:r>
          </w:p>
        </w:tc>
        <w:tc>
          <w:tcPr>
            <w:tcW w:w="581" w:type="pct"/>
          </w:tcPr>
          <w:p w14:paraId="44657BC4"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   </w:t>
            </w:r>
          </w:p>
        </w:tc>
        <w:tc>
          <w:tcPr>
            <w:tcW w:w="581" w:type="pct"/>
          </w:tcPr>
          <w:p w14:paraId="0449DD7B"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43 </w:t>
            </w:r>
          </w:p>
        </w:tc>
        <w:tc>
          <w:tcPr>
            <w:tcW w:w="581" w:type="pct"/>
          </w:tcPr>
          <w:p w14:paraId="20C271E8"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150 </w:t>
            </w:r>
          </w:p>
        </w:tc>
        <w:tc>
          <w:tcPr>
            <w:tcW w:w="1163" w:type="pct"/>
          </w:tcPr>
          <w:p w14:paraId="5E9889ED"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25%</w:t>
            </w:r>
          </w:p>
        </w:tc>
      </w:tr>
      <w:tr w:rsidR="009B38FB" w:rsidRPr="009B38FB" w14:paraId="07D5823D" w14:textId="77777777" w:rsidTr="004310B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 w:type="pct"/>
            <w:vAlign w:val="bottom"/>
          </w:tcPr>
          <w:p w14:paraId="45508DA6"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2020</w:t>
            </w:r>
          </w:p>
        </w:tc>
        <w:tc>
          <w:tcPr>
            <w:tcW w:w="582" w:type="pct"/>
          </w:tcPr>
          <w:p w14:paraId="3E570161"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770 </w:t>
            </w:r>
          </w:p>
        </w:tc>
        <w:tc>
          <w:tcPr>
            <w:tcW w:w="581" w:type="pct"/>
          </w:tcPr>
          <w:p w14:paraId="2ADCCB8B"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774 </w:t>
            </w:r>
          </w:p>
        </w:tc>
        <w:tc>
          <w:tcPr>
            <w:tcW w:w="609" w:type="pct"/>
          </w:tcPr>
          <w:p w14:paraId="73795D26"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4</w:t>
            </w:r>
          </w:p>
        </w:tc>
        <w:tc>
          <w:tcPr>
            <w:tcW w:w="581" w:type="pct"/>
          </w:tcPr>
          <w:p w14:paraId="11F769DA"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   </w:t>
            </w:r>
          </w:p>
        </w:tc>
        <w:tc>
          <w:tcPr>
            <w:tcW w:w="581" w:type="pct"/>
          </w:tcPr>
          <w:p w14:paraId="5BA48B2A"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43 </w:t>
            </w:r>
          </w:p>
        </w:tc>
        <w:tc>
          <w:tcPr>
            <w:tcW w:w="581" w:type="pct"/>
          </w:tcPr>
          <w:p w14:paraId="527BA239"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150 </w:t>
            </w:r>
          </w:p>
        </w:tc>
        <w:tc>
          <w:tcPr>
            <w:tcW w:w="1163" w:type="pct"/>
          </w:tcPr>
          <w:p w14:paraId="6C0B47FC"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25%</w:t>
            </w:r>
          </w:p>
        </w:tc>
      </w:tr>
      <w:tr w:rsidR="009B38FB" w:rsidRPr="009B38FB" w14:paraId="12B151D5" w14:textId="77777777" w:rsidTr="004310B0">
        <w:trPr>
          <w:trHeight w:val="283"/>
        </w:trPr>
        <w:tc>
          <w:tcPr>
            <w:cnfStyle w:val="001000000000" w:firstRow="0" w:lastRow="0" w:firstColumn="1" w:lastColumn="0" w:oddVBand="0" w:evenVBand="0" w:oddHBand="0" w:evenHBand="0" w:firstRowFirstColumn="0" w:firstRowLastColumn="0" w:lastRowFirstColumn="0" w:lastRowLastColumn="0"/>
            <w:tcW w:w="322" w:type="pct"/>
            <w:vAlign w:val="bottom"/>
          </w:tcPr>
          <w:p w14:paraId="24F22305"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2025</w:t>
            </w:r>
          </w:p>
        </w:tc>
        <w:tc>
          <w:tcPr>
            <w:tcW w:w="582" w:type="pct"/>
          </w:tcPr>
          <w:p w14:paraId="78364DE1"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806 </w:t>
            </w:r>
          </w:p>
        </w:tc>
        <w:tc>
          <w:tcPr>
            <w:tcW w:w="581" w:type="pct"/>
          </w:tcPr>
          <w:p w14:paraId="5656B37D"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821 </w:t>
            </w:r>
          </w:p>
        </w:tc>
        <w:tc>
          <w:tcPr>
            <w:tcW w:w="609" w:type="pct"/>
          </w:tcPr>
          <w:p w14:paraId="57309AE6"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15</w:t>
            </w:r>
          </w:p>
        </w:tc>
        <w:tc>
          <w:tcPr>
            <w:tcW w:w="581" w:type="pct"/>
          </w:tcPr>
          <w:p w14:paraId="7EB3573F"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   </w:t>
            </w:r>
          </w:p>
        </w:tc>
        <w:tc>
          <w:tcPr>
            <w:tcW w:w="581" w:type="pct"/>
          </w:tcPr>
          <w:p w14:paraId="41270918"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46 </w:t>
            </w:r>
          </w:p>
        </w:tc>
        <w:tc>
          <w:tcPr>
            <w:tcW w:w="581" w:type="pct"/>
          </w:tcPr>
          <w:p w14:paraId="1194A547"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150 </w:t>
            </w:r>
          </w:p>
        </w:tc>
        <w:tc>
          <w:tcPr>
            <w:tcW w:w="1163" w:type="pct"/>
          </w:tcPr>
          <w:p w14:paraId="0E955A2E"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24%</w:t>
            </w:r>
          </w:p>
        </w:tc>
      </w:tr>
      <w:tr w:rsidR="009B38FB" w:rsidRPr="009B38FB" w14:paraId="67005DF9" w14:textId="77777777" w:rsidTr="004310B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22" w:type="pct"/>
            <w:vAlign w:val="bottom"/>
          </w:tcPr>
          <w:p w14:paraId="379D17EB"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2030</w:t>
            </w:r>
          </w:p>
        </w:tc>
        <w:tc>
          <w:tcPr>
            <w:tcW w:w="582" w:type="pct"/>
          </w:tcPr>
          <w:p w14:paraId="20AB6D69"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843 </w:t>
            </w:r>
          </w:p>
        </w:tc>
        <w:tc>
          <w:tcPr>
            <w:tcW w:w="581" w:type="pct"/>
          </w:tcPr>
          <w:p w14:paraId="6B912338"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821 </w:t>
            </w:r>
          </w:p>
        </w:tc>
        <w:tc>
          <w:tcPr>
            <w:tcW w:w="609" w:type="pct"/>
          </w:tcPr>
          <w:p w14:paraId="3A00FF86"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0</w:t>
            </w:r>
          </w:p>
        </w:tc>
        <w:tc>
          <w:tcPr>
            <w:tcW w:w="581" w:type="pct"/>
          </w:tcPr>
          <w:p w14:paraId="53578BF9"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23 </w:t>
            </w:r>
          </w:p>
        </w:tc>
        <w:tc>
          <w:tcPr>
            <w:tcW w:w="581" w:type="pct"/>
          </w:tcPr>
          <w:p w14:paraId="60A1B68F"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46 </w:t>
            </w:r>
          </w:p>
        </w:tc>
        <w:tc>
          <w:tcPr>
            <w:tcW w:w="581" w:type="pct"/>
          </w:tcPr>
          <w:p w14:paraId="36E56364"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150 </w:t>
            </w:r>
          </w:p>
        </w:tc>
        <w:tc>
          <w:tcPr>
            <w:tcW w:w="1163" w:type="pct"/>
          </w:tcPr>
          <w:p w14:paraId="1922CC32"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23%</w:t>
            </w:r>
          </w:p>
        </w:tc>
      </w:tr>
      <w:tr w:rsidR="009B38FB" w:rsidRPr="009B38FB" w14:paraId="59D4BBA7" w14:textId="77777777" w:rsidTr="004310B0">
        <w:trPr>
          <w:trHeight w:val="283"/>
        </w:trPr>
        <w:tc>
          <w:tcPr>
            <w:cnfStyle w:val="001000000000" w:firstRow="0" w:lastRow="0" w:firstColumn="1" w:lastColumn="0" w:oddVBand="0" w:evenVBand="0" w:oddHBand="0" w:evenHBand="0" w:firstRowFirstColumn="0" w:firstRowLastColumn="0" w:lastRowFirstColumn="0" w:lastRowLastColumn="0"/>
            <w:tcW w:w="322" w:type="pct"/>
            <w:vAlign w:val="bottom"/>
          </w:tcPr>
          <w:p w14:paraId="1422020F"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2033</w:t>
            </w:r>
          </w:p>
        </w:tc>
        <w:tc>
          <w:tcPr>
            <w:tcW w:w="582" w:type="pct"/>
          </w:tcPr>
          <w:p w14:paraId="77B5C2CD"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864 </w:t>
            </w:r>
          </w:p>
        </w:tc>
        <w:tc>
          <w:tcPr>
            <w:tcW w:w="581" w:type="pct"/>
          </w:tcPr>
          <w:p w14:paraId="12FF2C02"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821 </w:t>
            </w:r>
          </w:p>
        </w:tc>
        <w:tc>
          <w:tcPr>
            <w:tcW w:w="609" w:type="pct"/>
          </w:tcPr>
          <w:p w14:paraId="6248142D"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0</w:t>
            </w:r>
          </w:p>
        </w:tc>
        <w:tc>
          <w:tcPr>
            <w:tcW w:w="581" w:type="pct"/>
          </w:tcPr>
          <w:p w14:paraId="023AFF2F"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44 </w:t>
            </w:r>
          </w:p>
        </w:tc>
        <w:tc>
          <w:tcPr>
            <w:tcW w:w="581" w:type="pct"/>
          </w:tcPr>
          <w:p w14:paraId="2C5C52B7"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46 </w:t>
            </w:r>
          </w:p>
        </w:tc>
        <w:tc>
          <w:tcPr>
            <w:tcW w:w="581" w:type="pct"/>
          </w:tcPr>
          <w:p w14:paraId="6CDE0980"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 xml:space="preserve"> 150 </w:t>
            </w:r>
          </w:p>
        </w:tc>
        <w:tc>
          <w:tcPr>
            <w:tcW w:w="1163" w:type="pct"/>
          </w:tcPr>
          <w:p w14:paraId="1D1F6E3C"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23%</w:t>
            </w:r>
          </w:p>
        </w:tc>
      </w:tr>
    </w:tbl>
    <w:p w14:paraId="512FD6ED" w14:textId="77777777" w:rsidR="009B38FB" w:rsidRPr="009B38FB" w:rsidRDefault="009B38FB" w:rsidP="009B38FB">
      <w:pPr>
        <w:rPr>
          <w:lang w:val="en-US"/>
        </w:rPr>
      </w:pPr>
    </w:p>
    <w:p w14:paraId="33551319" w14:textId="77777777" w:rsidR="009B38FB" w:rsidRPr="009B38FB" w:rsidRDefault="009B38FB" w:rsidP="009B38FB">
      <w:pPr>
        <w:keepNext/>
        <w:spacing w:after="120" w:line="240" w:lineRule="auto"/>
        <w:jc w:val="center"/>
        <w:rPr>
          <w:rFonts w:eastAsia="Times New Roman" w:cs="Times New Roman"/>
          <w:b/>
          <w:sz w:val="20"/>
          <w:szCs w:val="20"/>
          <w:lang w:val="en-US"/>
        </w:rPr>
      </w:pPr>
      <w:bookmarkStart w:id="158" w:name="_Ref381967542"/>
      <w:bookmarkStart w:id="159" w:name="_Toc383169331"/>
      <w:r w:rsidRPr="009B38FB">
        <w:rPr>
          <w:rFonts w:eastAsia="Times New Roman" w:cs="Times New Roman"/>
          <w:b/>
          <w:sz w:val="20"/>
          <w:szCs w:val="20"/>
          <w:lang w:val="en-GB"/>
        </w:rPr>
        <w:t xml:space="preserve">Table E-4:  Case 8 - </w:t>
      </w:r>
      <w:r w:rsidRPr="009B38FB">
        <w:rPr>
          <w:rFonts w:eastAsia="Times New Roman" w:cs="Times New Roman"/>
          <w:b/>
          <w:sz w:val="20"/>
          <w:szCs w:val="20"/>
          <w:lang w:val="en-US"/>
        </w:rPr>
        <w:t>PRM with Minimum Market Access</w:t>
      </w:r>
    </w:p>
    <w:tbl>
      <w:tblPr>
        <w:tblStyle w:val="LightList-Accent111"/>
        <w:tblW w:w="4942" w:type="pct"/>
        <w:tblLook w:val="04A0" w:firstRow="1" w:lastRow="0" w:firstColumn="1" w:lastColumn="0" w:noHBand="0" w:noVBand="1"/>
      </w:tblPr>
      <w:tblGrid>
        <w:gridCol w:w="876"/>
        <w:gridCol w:w="1717"/>
        <w:gridCol w:w="1719"/>
        <w:gridCol w:w="1719"/>
        <w:gridCol w:w="1719"/>
        <w:gridCol w:w="1715"/>
      </w:tblGrid>
      <w:tr w:rsidR="009B38FB" w:rsidRPr="009B38FB" w14:paraId="2250D33F" w14:textId="77777777" w:rsidTr="00431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pct"/>
            <w:vAlign w:val="center"/>
          </w:tcPr>
          <w:p w14:paraId="61CA671E" w14:textId="77777777" w:rsidR="009B38FB" w:rsidRPr="009B38FB" w:rsidRDefault="009B38FB" w:rsidP="009B38FB">
            <w:pPr>
              <w:keepNext/>
              <w:spacing w:before="40" w:after="40"/>
              <w:jc w:val="center"/>
              <w:rPr>
                <w:rFonts w:cs="Arial"/>
                <w:sz w:val="18"/>
                <w:szCs w:val="18"/>
              </w:rPr>
            </w:pPr>
            <w:r w:rsidRPr="009B38FB">
              <w:rPr>
                <w:rFonts w:cs="Arial"/>
                <w:sz w:val="18"/>
                <w:szCs w:val="18"/>
              </w:rPr>
              <w:t>Year</w:t>
            </w:r>
          </w:p>
        </w:tc>
        <w:tc>
          <w:tcPr>
            <w:tcW w:w="907" w:type="pct"/>
            <w:vAlign w:val="center"/>
          </w:tcPr>
          <w:p w14:paraId="2CE2DD37" w14:textId="77777777" w:rsidR="009B38FB" w:rsidRPr="009B38FB" w:rsidRDefault="009B38FB" w:rsidP="009B38FB">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B38FB">
              <w:rPr>
                <w:rFonts w:cs="Arial"/>
                <w:sz w:val="18"/>
                <w:szCs w:val="18"/>
              </w:rPr>
              <w:t>LOLE</w:t>
            </w:r>
          </w:p>
        </w:tc>
        <w:tc>
          <w:tcPr>
            <w:tcW w:w="908" w:type="pct"/>
            <w:vAlign w:val="center"/>
          </w:tcPr>
          <w:p w14:paraId="164D4F5D" w14:textId="77777777" w:rsidR="009B38FB" w:rsidRPr="009B38FB" w:rsidRDefault="009B38FB" w:rsidP="009B38FB">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B38FB">
              <w:rPr>
                <w:rFonts w:cs="Arial"/>
                <w:sz w:val="18"/>
                <w:szCs w:val="18"/>
              </w:rPr>
              <w:t>Summer PRM excl. OR</w:t>
            </w:r>
          </w:p>
        </w:tc>
        <w:tc>
          <w:tcPr>
            <w:tcW w:w="908" w:type="pct"/>
            <w:vAlign w:val="center"/>
          </w:tcPr>
          <w:p w14:paraId="2EEA6818" w14:textId="77777777" w:rsidR="009B38FB" w:rsidRPr="009B38FB" w:rsidRDefault="009B38FB" w:rsidP="009B38FB">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B38FB">
              <w:rPr>
                <w:rFonts w:cs="Arial"/>
                <w:sz w:val="18"/>
                <w:szCs w:val="18"/>
              </w:rPr>
              <w:t>Winter PRM excl. OR</w:t>
            </w:r>
          </w:p>
        </w:tc>
        <w:tc>
          <w:tcPr>
            <w:tcW w:w="908" w:type="pct"/>
            <w:vAlign w:val="center"/>
          </w:tcPr>
          <w:p w14:paraId="71A83B3B" w14:textId="77777777" w:rsidR="009B38FB" w:rsidRPr="009B38FB" w:rsidRDefault="009B38FB" w:rsidP="009B38FB">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B38FB">
              <w:rPr>
                <w:rFonts w:cs="Arial"/>
                <w:sz w:val="18"/>
                <w:szCs w:val="18"/>
              </w:rPr>
              <w:t>Summer PRM incl. OR</w:t>
            </w:r>
          </w:p>
        </w:tc>
        <w:tc>
          <w:tcPr>
            <w:tcW w:w="906" w:type="pct"/>
            <w:vAlign w:val="center"/>
          </w:tcPr>
          <w:p w14:paraId="5DF53075" w14:textId="77777777" w:rsidR="009B38FB" w:rsidRPr="009B38FB" w:rsidRDefault="009B38FB" w:rsidP="009B38FB">
            <w:pPr>
              <w:keepNext/>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rPr>
            </w:pPr>
            <w:r w:rsidRPr="009B38FB">
              <w:rPr>
                <w:rFonts w:cs="Arial"/>
                <w:sz w:val="18"/>
                <w:szCs w:val="18"/>
              </w:rPr>
              <w:t>Winter PRM incl. OR</w:t>
            </w:r>
          </w:p>
        </w:tc>
      </w:tr>
      <w:tr w:rsidR="009B38FB" w:rsidRPr="009B38FB" w14:paraId="6436B1B3" w14:textId="77777777" w:rsidTr="004310B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3" w:type="pct"/>
            <w:vAlign w:val="bottom"/>
          </w:tcPr>
          <w:p w14:paraId="11C4CA18"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2014</w:t>
            </w:r>
          </w:p>
        </w:tc>
        <w:tc>
          <w:tcPr>
            <w:tcW w:w="907" w:type="pct"/>
          </w:tcPr>
          <w:p w14:paraId="4589A2A8"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0.016</w:t>
            </w:r>
          </w:p>
        </w:tc>
        <w:tc>
          <w:tcPr>
            <w:tcW w:w="908" w:type="pct"/>
          </w:tcPr>
          <w:p w14:paraId="4C31D9C0"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13%</w:t>
            </w:r>
          </w:p>
        </w:tc>
        <w:tc>
          <w:tcPr>
            <w:tcW w:w="908" w:type="pct"/>
          </w:tcPr>
          <w:p w14:paraId="2F7B88F9"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12%</w:t>
            </w:r>
          </w:p>
        </w:tc>
        <w:tc>
          <w:tcPr>
            <w:tcW w:w="908" w:type="pct"/>
          </w:tcPr>
          <w:p w14:paraId="3142735A"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18%</w:t>
            </w:r>
          </w:p>
        </w:tc>
        <w:tc>
          <w:tcPr>
            <w:tcW w:w="906" w:type="pct"/>
          </w:tcPr>
          <w:p w14:paraId="5D5014B1"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16%</w:t>
            </w:r>
          </w:p>
        </w:tc>
      </w:tr>
      <w:tr w:rsidR="009B38FB" w:rsidRPr="009B38FB" w14:paraId="5A7453A4" w14:textId="77777777" w:rsidTr="004310B0">
        <w:trPr>
          <w:trHeight w:val="283"/>
        </w:trPr>
        <w:tc>
          <w:tcPr>
            <w:cnfStyle w:val="001000000000" w:firstRow="0" w:lastRow="0" w:firstColumn="1" w:lastColumn="0" w:oddVBand="0" w:evenVBand="0" w:oddHBand="0" w:evenHBand="0" w:firstRowFirstColumn="0" w:firstRowLastColumn="0" w:lastRowFirstColumn="0" w:lastRowLastColumn="0"/>
            <w:tcW w:w="463" w:type="pct"/>
            <w:vAlign w:val="bottom"/>
          </w:tcPr>
          <w:p w14:paraId="214C1358"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2015</w:t>
            </w:r>
          </w:p>
        </w:tc>
        <w:tc>
          <w:tcPr>
            <w:tcW w:w="907" w:type="pct"/>
          </w:tcPr>
          <w:p w14:paraId="7E8EDF59"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0.159</w:t>
            </w:r>
          </w:p>
        </w:tc>
        <w:tc>
          <w:tcPr>
            <w:tcW w:w="908" w:type="pct"/>
          </w:tcPr>
          <w:p w14:paraId="4A1B4501"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15%</w:t>
            </w:r>
          </w:p>
        </w:tc>
        <w:tc>
          <w:tcPr>
            <w:tcW w:w="908" w:type="pct"/>
          </w:tcPr>
          <w:p w14:paraId="133311F4"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10%</w:t>
            </w:r>
          </w:p>
        </w:tc>
        <w:tc>
          <w:tcPr>
            <w:tcW w:w="908" w:type="pct"/>
          </w:tcPr>
          <w:p w14:paraId="29448845"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21%</w:t>
            </w:r>
          </w:p>
        </w:tc>
        <w:tc>
          <w:tcPr>
            <w:tcW w:w="906" w:type="pct"/>
          </w:tcPr>
          <w:p w14:paraId="452C959C"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16%</w:t>
            </w:r>
          </w:p>
        </w:tc>
      </w:tr>
      <w:tr w:rsidR="009B38FB" w:rsidRPr="009B38FB" w14:paraId="20CB2F3A" w14:textId="77777777" w:rsidTr="004310B0">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463" w:type="pct"/>
            <w:vAlign w:val="bottom"/>
          </w:tcPr>
          <w:p w14:paraId="3BB9AFD7"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2016</w:t>
            </w:r>
          </w:p>
        </w:tc>
        <w:tc>
          <w:tcPr>
            <w:tcW w:w="907" w:type="pct"/>
          </w:tcPr>
          <w:p w14:paraId="5D9BAF35"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0.005</w:t>
            </w:r>
          </w:p>
        </w:tc>
        <w:tc>
          <w:tcPr>
            <w:tcW w:w="908" w:type="pct"/>
          </w:tcPr>
          <w:p w14:paraId="389D77DE"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14%</w:t>
            </w:r>
          </w:p>
        </w:tc>
        <w:tc>
          <w:tcPr>
            <w:tcW w:w="908" w:type="pct"/>
          </w:tcPr>
          <w:p w14:paraId="0C0C63E8"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10%</w:t>
            </w:r>
          </w:p>
        </w:tc>
        <w:tc>
          <w:tcPr>
            <w:tcW w:w="908" w:type="pct"/>
          </w:tcPr>
          <w:p w14:paraId="5261701B"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20%</w:t>
            </w:r>
          </w:p>
        </w:tc>
        <w:tc>
          <w:tcPr>
            <w:tcW w:w="906" w:type="pct"/>
          </w:tcPr>
          <w:p w14:paraId="7F1697D1"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16%</w:t>
            </w:r>
          </w:p>
        </w:tc>
      </w:tr>
      <w:tr w:rsidR="009B38FB" w:rsidRPr="009B38FB" w14:paraId="4B200A64" w14:textId="77777777" w:rsidTr="004310B0">
        <w:trPr>
          <w:trHeight w:val="283"/>
        </w:trPr>
        <w:tc>
          <w:tcPr>
            <w:cnfStyle w:val="001000000000" w:firstRow="0" w:lastRow="0" w:firstColumn="1" w:lastColumn="0" w:oddVBand="0" w:evenVBand="0" w:oddHBand="0" w:evenHBand="0" w:firstRowFirstColumn="0" w:firstRowLastColumn="0" w:lastRowFirstColumn="0" w:lastRowLastColumn="0"/>
            <w:tcW w:w="463" w:type="pct"/>
            <w:vAlign w:val="bottom"/>
          </w:tcPr>
          <w:p w14:paraId="2DDF991E"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2017</w:t>
            </w:r>
          </w:p>
        </w:tc>
        <w:tc>
          <w:tcPr>
            <w:tcW w:w="907" w:type="pct"/>
          </w:tcPr>
          <w:p w14:paraId="7601CD97"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0.011</w:t>
            </w:r>
          </w:p>
        </w:tc>
        <w:tc>
          <w:tcPr>
            <w:tcW w:w="908" w:type="pct"/>
          </w:tcPr>
          <w:p w14:paraId="3E3914D0"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14%</w:t>
            </w:r>
          </w:p>
        </w:tc>
        <w:tc>
          <w:tcPr>
            <w:tcW w:w="908" w:type="pct"/>
          </w:tcPr>
          <w:p w14:paraId="2EE04C40"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10%</w:t>
            </w:r>
          </w:p>
        </w:tc>
        <w:tc>
          <w:tcPr>
            <w:tcW w:w="908" w:type="pct"/>
          </w:tcPr>
          <w:p w14:paraId="6DDA012C"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20%</w:t>
            </w:r>
          </w:p>
        </w:tc>
        <w:tc>
          <w:tcPr>
            <w:tcW w:w="906" w:type="pct"/>
          </w:tcPr>
          <w:p w14:paraId="5F6BF197"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16%</w:t>
            </w:r>
          </w:p>
        </w:tc>
      </w:tr>
      <w:tr w:rsidR="009B38FB" w:rsidRPr="009B38FB" w14:paraId="3D6B7821" w14:textId="77777777" w:rsidTr="004310B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3" w:type="pct"/>
            <w:vAlign w:val="bottom"/>
          </w:tcPr>
          <w:p w14:paraId="273B84AF"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2018</w:t>
            </w:r>
          </w:p>
        </w:tc>
        <w:tc>
          <w:tcPr>
            <w:tcW w:w="907" w:type="pct"/>
          </w:tcPr>
          <w:p w14:paraId="315DE5B2"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0.080</w:t>
            </w:r>
          </w:p>
        </w:tc>
        <w:tc>
          <w:tcPr>
            <w:tcW w:w="908" w:type="pct"/>
          </w:tcPr>
          <w:p w14:paraId="7A41B960"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13%</w:t>
            </w:r>
          </w:p>
        </w:tc>
        <w:tc>
          <w:tcPr>
            <w:tcW w:w="908" w:type="pct"/>
          </w:tcPr>
          <w:p w14:paraId="46717E4D"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10%</w:t>
            </w:r>
          </w:p>
        </w:tc>
        <w:tc>
          <w:tcPr>
            <w:tcW w:w="908" w:type="pct"/>
          </w:tcPr>
          <w:p w14:paraId="0B073581"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18%</w:t>
            </w:r>
          </w:p>
        </w:tc>
        <w:tc>
          <w:tcPr>
            <w:tcW w:w="906" w:type="pct"/>
          </w:tcPr>
          <w:p w14:paraId="2E9C4E10"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16%</w:t>
            </w:r>
          </w:p>
        </w:tc>
      </w:tr>
      <w:tr w:rsidR="009B38FB" w:rsidRPr="009B38FB" w14:paraId="2351D97B" w14:textId="77777777" w:rsidTr="004310B0">
        <w:trPr>
          <w:trHeight w:val="283"/>
        </w:trPr>
        <w:tc>
          <w:tcPr>
            <w:cnfStyle w:val="001000000000" w:firstRow="0" w:lastRow="0" w:firstColumn="1" w:lastColumn="0" w:oddVBand="0" w:evenVBand="0" w:oddHBand="0" w:evenHBand="0" w:firstRowFirstColumn="0" w:firstRowLastColumn="0" w:lastRowFirstColumn="0" w:lastRowLastColumn="0"/>
            <w:tcW w:w="463" w:type="pct"/>
            <w:vAlign w:val="bottom"/>
          </w:tcPr>
          <w:p w14:paraId="5EEC6C4B"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2019</w:t>
            </w:r>
          </w:p>
        </w:tc>
        <w:tc>
          <w:tcPr>
            <w:tcW w:w="907" w:type="pct"/>
          </w:tcPr>
          <w:p w14:paraId="2F035F13"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0.073</w:t>
            </w:r>
          </w:p>
        </w:tc>
        <w:tc>
          <w:tcPr>
            <w:tcW w:w="908" w:type="pct"/>
          </w:tcPr>
          <w:p w14:paraId="2F632FF9"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13%</w:t>
            </w:r>
          </w:p>
        </w:tc>
        <w:tc>
          <w:tcPr>
            <w:tcW w:w="908" w:type="pct"/>
          </w:tcPr>
          <w:p w14:paraId="0B3435A8"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10%</w:t>
            </w:r>
          </w:p>
        </w:tc>
        <w:tc>
          <w:tcPr>
            <w:tcW w:w="908" w:type="pct"/>
          </w:tcPr>
          <w:p w14:paraId="6CFB2B78"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18%</w:t>
            </w:r>
          </w:p>
        </w:tc>
        <w:tc>
          <w:tcPr>
            <w:tcW w:w="906" w:type="pct"/>
          </w:tcPr>
          <w:p w14:paraId="7ABF98B2"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15%</w:t>
            </w:r>
          </w:p>
        </w:tc>
      </w:tr>
      <w:tr w:rsidR="009B38FB" w:rsidRPr="009B38FB" w14:paraId="6C0E8975" w14:textId="77777777" w:rsidTr="004310B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3" w:type="pct"/>
            <w:vAlign w:val="bottom"/>
          </w:tcPr>
          <w:p w14:paraId="1610FE0E"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2020</w:t>
            </w:r>
          </w:p>
        </w:tc>
        <w:tc>
          <w:tcPr>
            <w:tcW w:w="907" w:type="pct"/>
          </w:tcPr>
          <w:p w14:paraId="24EF25AC"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0.081</w:t>
            </w:r>
          </w:p>
        </w:tc>
        <w:tc>
          <w:tcPr>
            <w:tcW w:w="908" w:type="pct"/>
          </w:tcPr>
          <w:p w14:paraId="0584EF03"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13%</w:t>
            </w:r>
          </w:p>
        </w:tc>
        <w:tc>
          <w:tcPr>
            <w:tcW w:w="908" w:type="pct"/>
          </w:tcPr>
          <w:p w14:paraId="57D1EA0E"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10%</w:t>
            </w:r>
          </w:p>
        </w:tc>
        <w:tc>
          <w:tcPr>
            <w:tcW w:w="908" w:type="pct"/>
          </w:tcPr>
          <w:p w14:paraId="2B0CFC1F"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18%</w:t>
            </w:r>
          </w:p>
        </w:tc>
        <w:tc>
          <w:tcPr>
            <w:tcW w:w="906" w:type="pct"/>
          </w:tcPr>
          <w:p w14:paraId="2C30ED5B"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15%</w:t>
            </w:r>
          </w:p>
        </w:tc>
      </w:tr>
      <w:tr w:rsidR="009B38FB" w:rsidRPr="009B38FB" w14:paraId="543A521D" w14:textId="77777777" w:rsidTr="004310B0">
        <w:trPr>
          <w:trHeight w:val="283"/>
        </w:trPr>
        <w:tc>
          <w:tcPr>
            <w:cnfStyle w:val="001000000000" w:firstRow="0" w:lastRow="0" w:firstColumn="1" w:lastColumn="0" w:oddVBand="0" w:evenVBand="0" w:oddHBand="0" w:evenHBand="0" w:firstRowFirstColumn="0" w:firstRowLastColumn="0" w:lastRowFirstColumn="0" w:lastRowLastColumn="0"/>
            <w:tcW w:w="463" w:type="pct"/>
            <w:vAlign w:val="bottom"/>
          </w:tcPr>
          <w:p w14:paraId="04BC3FB3"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2025</w:t>
            </w:r>
          </w:p>
        </w:tc>
        <w:tc>
          <w:tcPr>
            <w:tcW w:w="907" w:type="pct"/>
          </w:tcPr>
          <w:p w14:paraId="44E4629C"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0.100</w:t>
            </w:r>
          </w:p>
        </w:tc>
        <w:tc>
          <w:tcPr>
            <w:tcW w:w="908" w:type="pct"/>
          </w:tcPr>
          <w:p w14:paraId="08A7D770"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12%</w:t>
            </w:r>
          </w:p>
        </w:tc>
        <w:tc>
          <w:tcPr>
            <w:tcW w:w="908" w:type="pct"/>
          </w:tcPr>
          <w:p w14:paraId="2A009238"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9%</w:t>
            </w:r>
          </w:p>
        </w:tc>
        <w:tc>
          <w:tcPr>
            <w:tcW w:w="908" w:type="pct"/>
          </w:tcPr>
          <w:p w14:paraId="72F64076"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17%</w:t>
            </w:r>
          </w:p>
        </w:tc>
        <w:tc>
          <w:tcPr>
            <w:tcW w:w="906" w:type="pct"/>
          </w:tcPr>
          <w:p w14:paraId="6C13F210"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15%</w:t>
            </w:r>
          </w:p>
        </w:tc>
      </w:tr>
      <w:tr w:rsidR="009B38FB" w:rsidRPr="009B38FB" w14:paraId="1838839C" w14:textId="77777777" w:rsidTr="004310B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463" w:type="pct"/>
            <w:vAlign w:val="bottom"/>
          </w:tcPr>
          <w:p w14:paraId="5C6CF794"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2030</w:t>
            </w:r>
          </w:p>
        </w:tc>
        <w:tc>
          <w:tcPr>
            <w:tcW w:w="907" w:type="pct"/>
          </w:tcPr>
          <w:p w14:paraId="5B62C8D3"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0.104</w:t>
            </w:r>
          </w:p>
        </w:tc>
        <w:tc>
          <w:tcPr>
            <w:tcW w:w="908" w:type="pct"/>
          </w:tcPr>
          <w:p w14:paraId="77BF1B3E"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15%</w:t>
            </w:r>
          </w:p>
        </w:tc>
        <w:tc>
          <w:tcPr>
            <w:tcW w:w="908" w:type="pct"/>
          </w:tcPr>
          <w:p w14:paraId="79851C7F"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9%</w:t>
            </w:r>
          </w:p>
        </w:tc>
        <w:tc>
          <w:tcPr>
            <w:tcW w:w="908" w:type="pct"/>
          </w:tcPr>
          <w:p w14:paraId="02A32176"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21%</w:t>
            </w:r>
          </w:p>
        </w:tc>
        <w:tc>
          <w:tcPr>
            <w:tcW w:w="906" w:type="pct"/>
          </w:tcPr>
          <w:p w14:paraId="47475FF1"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14%</w:t>
            </w:r>
          </w:p>
        </w:tc>
      </w:tr>
      <w:tr w:rsidR="009B38FB" w:rsidRPr="009B38FB" w14:paraId="24C19892" w14:textId="77777777" w:rsidTr="004310B0">
        <w:trPr>
          <w:trHeight w:val="283"/>
        </w:trPr>
        <w:tc>
          <w:tcPr>
            <w:cnfStyle w:val="001000000000" w:firstRow="0" w:lastRow="0" w:firstColumn="1" w:lastColumn="0" w:oddVBand="0" w:evenVBand="0" w:oddHBand="0" w:evenHBand="0" w:firstRowFirstColumn="0" w:firstRowLastColumn="0" w:lastRowFirstColumn="0" w:lastRowLastColumn="0"/>
            <w:tcW w:w="463" w:type="pct"/>
            <w:vAlign w:val="bottom"/>
          </w:tcPr>
          <w:p w14:paraId="4B1DC718"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2033</w:t>
            </w:r>
          </w:p>
        </w:tc>
        <w:tc>
          <w:tcPr>
            <w:tcW w:w="907" w:type="pct"/>
          </w:tcPr>
          <w:p w14:paraId="506BD23D"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0.105</w:t>
            </w:r>
          </w:p>
        </w:tc>
        <w:tc>
          <w:tcPr>
            <w:tcW w:w="908" w:type="pct"/>
          </w:tcPr>
          <w:p w14:paraId="536D44ED"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13%</w:t>
            </w:r>
          </w:p>
        </w:tc>
        <w:tc>
          <w:tcPr>
            <w:tcW w:w="908" w:type="pct"/>
          </w:tcPr>
          <w:p w14:paraId="21FA1EFA"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9%</w:t>
            </w:r>
          </w:p>
        </w:tc>
        <w:tc>
          <w:tcPr>
            <w:tcW w:w="908" w:type="pct"/>
          </w:tcPr>
          <w:p w14:paraId="13831F5C"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18%</w:t>
            </w:r>
          </w:p>
        </w:tc>
        <w:tc>
          <w:tcPr>
            <w:tcW w:w="906" w:type="pct"/>
          </w:tcPr>
          <w:p w14:paraId="2856CB4A"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14%</w:t>
            </w:r>
          </w:p>
        </w:tc>
      </w:tr>
    </w:tbl>
    <w:p w14:paraId="3206E5D7" w14:textId="77777777" w:rsidR="009B38FB" w:rsidRPr="009B38FB" w:rsidRDefault="009B38FB" w:rsidP="009B38FB">
      <w:pPr>
        <w:keepNext/>
        <w:spacing w:after="120" w:line="240" w:lineRule="auto"/>
        <w:jc w:val="center"/>
        <w:rPr>
          <w:rFonts w:eastAsia="Times New Roman" w:cs="Times New Roman"/>
          <w:b/>
          <w:sz w:val="20"/>
          <w:szCs w:val="20"/>
          <w:lang w:val="en-GB"/>
        </w:rPr>
      </w:pPr>
    </w:p>
    <w:p w14:paraId="4DAC49EA" w14:textId="77777777" w:rsidR="009B38FB" w:rsidRPr="009B38FB" w:rsidRDefault="009B38FB" w:rsidP="009B38FB">
      <w:pPr>
        <w:keepNext/>
        <w:spacing w:after="120" w:line="240" w:lineRule="auto"/>
        <w:jc w:val="center"/>
        <w:rPr>
          <w:rFonts w:eastAsia="Times New Roman" w:cs="Times New Roman"/>
          <w:b/>
          <w:sz w:val="20"/>
          <w:szCs w:val="20"/>
          <w:lang w:val="en-GB"/>
        </w:rPr>
      </w:pPr>
      <w:r w:rsidRPr="009B38FB">
        <w:rPr>
          <w:rFonts w:eastAsia="Times New Roman" w:cs="Times New Roman"/>
          <w:b/>
          <w:sz w:val="20"/>
          <w:szCs w:val="20"/>
          <w:lang w:val="en-GB"/>
        </w:rPr>
        <w:t xml:space="preserve">Table </w:t>
      </w:r>
      <w:bookmarkEnd w:id="158"/>
      <w:r w:rsidRPr="009B38FB">
        <w:rPr>
          <w:rFonts w:eastAsia="Times New Roman" w:cs="Times New Roman"/>
          <w:b/>
          <w:sz w:val="20"/>
          <w:szCs w:val="20"/>
          <w:lang w:val="en-GB"/>
        </w:rPr>
        <w:t>E-5:  Case 9 - PRM without Market and with Additional Capacity</w:t>
      </w:r>
      <w:bookmarkEnd w:id="159"/>
      <w:r w:rsidRPr="009B38FB">
        <w:rPr>
          <w:rFonts w:eastAsia="Times New Roman" w:cs="Times New Roman"/>
          <w:b/>
          <w:sz w:val="20"/>
          <w:szCs w:val="20"/>
          <w:lang w:val="en-GB"/>
        </w:rPr>
        <w:t xml:space="preserve">  </w:t>
      </w:r>
    </w:p>
    <w:tbl>
      <w:tblPr>
        <w:tblStyle w:val="LightList-Accent111"/>
        <w:tblW w:w="5000" w:type="pct"/>
        <w:tblLook w:val="04A0" w:firstRow="1" w:lastRow="0" w:firstColumn="1" w:lastColumn="0" w:noHBand="0" w:noVBand="1"/>
      </w:tblPr>
      <w:tblGrid>
        <w:gridCol w:w="663"/>
        <w:gridCol w:w="1783"/>
        <w:gridCol w:w="1783"/>
        <w:gridCol w:w="1783"/>
        <w:gridCol w:w="1783"/>
        <w:gridCol w:w="1781"/>
      </w:tblGrid>
      <w:tr w:rsidR="009B38FB" w:rsidRPr="009B38FB" w14:paraId="616C2B1B" w14:textId="77777777" w:rsidTr="00431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 w:type="pct"/>
            <w:vAlign w:val="center"/>
          </w:tcPr>
          <w:p w14:paraId="659C638E" w14:textId="77777777" w:rsidR="009B38FB" w:rsidRPr="009B38FB" w:rsidRDefault="009B38FB" w:rsidP="009B38FB">
            <w:pPr>
              <w:spacing w:before="40" w:after="40"/>
              <w:jc w:val="center"/>
              <w:rPr>
                <w:rFonts w:cs="Arial"/>
                <w:sz w:val="18"/>
                <w:szCs w:val="18"/>
                <w:lang w:val="en-US"/>
              </w:rPr>
            </w:pPr>
            <w:r w:rsidRPr="009B38FB">
              <w:rPr>
                <w:rFonts w:cs="Arial"/>
                <w:sz w:val="18"/>
                <w:szCs w:val="18"/>
                <w:lang w:val="en-US"/>
              </w:rPr>
              <w:t>Year</w:t>
            </w:r>
          </w:p>
        </w:tc>
        <w:tc>
          <w:tcPr>
            <w:tcW w:w="931" w:type="pct"/>
            <w:vAlign w:val="center"/>
          </w:tcPr>
          <w:p w14:paraId="3BA43EB7" w14:textId="77777777" w:rsidR="009B38FB" w:rsidRPr="009B38FB" w:rsidRDefault="009B38FB" w:rsidP="009B38FB">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lang w:val="en-US"/>
              </w:rPr>
            </w:pPr>
            <w:r w:rsidRPr="009B38FB">
              <w:rPr>
                <w:rFonts w:cs="Arial"/>
                <w:sz w:val="18"/>
                <w:szCs w:val="18"/>
              </w:rPr>
              <w:t>LOLE After</w:t>
            </w:r>
          </w:p>
        </w:tc>
        <w:tc>
          <w:tcPr>
            <w:tcW w:w="931" w:type="pct"/>
            <w:vAlign w:val="center"/>
          </w:tcPr>
          <w:p w14:paraId="2706BD30" w14:textId="77777777" w:rsidR="009B38FB" w:rsidRPr="009B38FB" w:rsidRDefault="009B38FB" w:rsidP="009B38FB">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lang w:val="en-US"/>
              </w:rPr>
            </w:pPr>
            <w:r w:rsidRPr="009B38FB">
              <w:rPr>
                <w:rFonts w:cs="Arial"/>
                <w:sz w:val="18"/>
                <w:szCs w:val="18"/>
                <w:lang w:val="en-US"/>
              </w:rPr>
              <w:t>Summer PRM excl. OR</w:t>
            </w:r>
          </w:p>
        </w:tc>
        <w:tc>
          <w:tcPr>
            <w:tcW w:w="931" w:type="pct"/>
            <w:vAlign w:val="center"/>
          </w:tcPr>
          <w:p w14:paraId="48949196" w14:textId="77777777" w:rsidR="009B38FB" w:rsidRPr="009B38FB" w:rsidRDefault="009B38FB" w:rsidP="009B38FB">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lang w:val="en-US"/>
              </w:rPr>
            </w:pPr>
            <w:r w:rsidRPr="009B38FB">
              <w:rPr>
                <w:rFonts w:cs="Arial"/>
                <w:sz w:val="18"/>
                <w:szCs w:val="18"/>
                <w:lang w:val="en-US"/>
              </w:rPr>
              <w:t>Winter PRM excl. OR</w:t>
            </w:r>
          </w:p>
        </w:tc>
        <w:tc>
          <w:tcPr>
            <w:tcW w:w="931" w:type="pct"/>
            <w:vAlign w:val="center"/>
          </w:tcPr>
          <w:p w14:paraId="06A1F559" w14:textId="77777777" w:rsidR="009B38FB" w:rsidRPr="009B38FB" w:rsidRDefault="009B38FB" w:rsidP="009B38FB">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lang w:val="en-US"/>
              </w:rPr>
            </w:pPr>
            <w:r w:rsidRPr="009B38FB">
              <w:rPr>
                <w:rFonts w:cs="Arial"/>
                <w:sz w:val="18"/>
                <w:szCs w:val="18"/>
                <w:lang w:val="en-US"/>
              </w:rPr>
              <w:t>Summer PRM incl. OR</w:t>
            </w:r>
          </w:p>
        </w:tc>
        <w:tc>
          <w:tcPr>
            <w:tcW w:w="930" w:type="pct"/>
            <w:vAlign w:val="center"/>
          </w:tcPr>
          <w:p w14:paraId="0E4E003F" w14:textId="77777777" w:rsidR="009B38FB" w:rsidRPr="009B38FB" w:rsidRDefault="009B38FB" w:rsidP="009B38FB">
            <w:pPr>
              <w:spacing w:before="40" w:after="40"/>
              <w:jc w:val="center"/>
              <w:cnfStyle w:val="100000000000" w:firstRow="1" w:lastRow="0" w:firstColumn="0" w:lastColumn="0" w:oddVBand="0" w:evenVBand="0" w:oddHBand="0" w:evenHBand="0" w:firstRowFirstColumn="0" w:firstRowLastColumn="0" w:lastRowFirstColumn="0" w:lastRowLastColumn="0"/>
              <w:rPr>
                <w:rFonts w:cs="Arial"/>
                <w:sz w:val="18"/>
                <w:szCs w:val="18"/>
                <w:lang w:val="en-US"/>
              </w:rPr>
            </w:pPr>
            <w:r w:rsidRPr="009B38FB">
              <w:rPr>
                <w:rFonts w:cs="Arial"/>
                <w:sz w:val="18"/>
                <w:szCs w:val="18"/>
                <w:lang w:val="en-US"/>
              </w:rPr>
              <w:t>Winter PRM incl. OR</w:t>
            </w:r>
          </w:p>
        </w:tc>
      </w:tr>
      <w:tr w:rsidR="009B38FB" w:rsidRPr="009B38FB" w14:paraId="2E0AA71E" w14:textId="77777777" w:rsidTr="004310B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6" w:type="pct"/>
            <w:vAlign w:val="bottom"/>
          </w:tcPr>
          <w:p w14:paraId="0DBE89D2"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2014</w:t>
            </w:r>
          </w:p>
        </w:tc>
        <w:tc>
          <w:tcPr>
            <w:tcW w:w="931" w:type="pct"/>
          </w:tcPr>
          <w:p w14:paraId="61B9FD0D"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0.050</w:t>
            </w:r>
          </w:p>
        </w:tc>
        <w:tc>
          <w:tcPr>
            <w:tcW w:w="931" w:type="pct"/>
          </w:tcPr>
          <w:p w14:paraId="372DCBAB"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9%</w:t>
            </w:r>
          </w:p>
        </w:tc>
        <w:tc>
          <w:tcPr>
            <w:tcW w:w="931" w:type="pct"/>
          </w:tcPr>
          <w:p w14:paraId="72EB20D5"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16%</w:t>
            </w:r>
          </w:p>
        </w:tc>
        <w:tc>
          <w:tcPr>
            <w:tcW w:w="931" w:type="pct"/>
          </w:tcPr>
          <w:p w14:paraId="415770AF"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13%</w:t>
            </w:r>
          </w:p>
        </w:tc>
        <w:tc>
          <w:tcPr>
            <w:tcW w:w="930" w:type="pct"/>
          </w:tcPr>
          <w:p w14:paraId="528AB33A"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20%</w:t>
            </w:r>
          </w:p>
        </w:tc>
      </w:tr>
      <w:tr w:rsidR="009B38FB" w:rsidRPr="009B38FB" w14:paraId="23A935C2" w14:textId="77777777" w:rsidTr="004310B0">
        <w:trPr>
          <w:trHeight w:val="283"/>
        </w:trPr>
        <w:tc>
          <w:tcPr>
            <w:cnfStyle w:val="001000000000" w:firstRow="0" w:lastRow="0" w:firstColumn="1" w:lastColumn="0" w:oddVBand="0" w:evenVBand="0" w:oddHBand="0" w:evenHBand="0" w:firstRowFirstColumn="0" w:firstRowLastColumn="0" w:lastRowFirstColumn="0" w:lastRowLastColumn="0"/>
            <w:tcW w:w="346" w:type="pct"/>
            <w:vAlign w:val="bottom"/>
          </w:tcPr>
          <w:p w14:paraId="69B9E4B7"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2015</w:t>
            </w:r>
          </w:p>
        </w:tc>
        <w:tc>
          <w:tcPr>
            <w:tcW w:w="931" w:type="pct"/>
          </w:tcPr>
          <w:p w14:paraId="1B8830E0"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0.091</w:t>
            </w:r>
          </w:p>
        </w:tc>
        <w:tc>
          <w:tcPr>
            <w:tcW w:w="931" w:type="pct"/>
          </w:tcPr>
          <w:p w14:paraId="52C7C688"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11%</w:t>
            </w:r>
          </w:p>
        </w:tc>
        <w:tc>
          <w:tcPr>
            <w:tcW w:w="931" w:type="pct"/>
          </w:tcPr>
          <w:p w14:paraId="55184258"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14%</w:t>
            </w:r>
          </w:p>
        </w:tc>
        <w:tc>
          <w:tcPr>
            <w:tcW w:w="931" w:type="pct"/>
          </w:tcPr>
          <w:p w14:paraId="1EB61C3D"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17%</w:t>
            </w:r>
          </w:p>
        </w:tc>
        <w:tc>
          <w:tcPr>
            <w:tcW w:w="930" w:type="pct"/>
          </w:tcPr>
          <w:p w14:paraId="4B6603B6"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20%</w:t>
            </w:r>
          </w:p>
        </w:tc>
      </w:tr>
      <w:tr w:rsidR="009B38FB" w:rsidRPr="009B38FB" w14:paraId="054C7BBD" w14:textId="77777777" w:rsidTr="004310B0">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346" w:type="pct"/>
            <w:vAlign w:val="bottom"/>
          </w:tcPr>
          <w:p w14:paraId="2D8028BF"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2016</w:t>
            </w:r>
          </w:p>
        </w:tc>
        <w:tc>
          <w:tcPr>
            <w:tcW w:w="931" w:type="pct"/>
          </w:tcPr>
          <w:p w14:paraId="28A7F5FD"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0.025</w:t>
            </w:r>
          </w:p>
        </w:tc>
        <w:tc>
          <w:tcPr>
            <w:tcW w:w="931" w:type="pct"/>
          </w:tcPr>
          <w:p w14:paraId="4E94B324"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10%</w:t>
            </w:r>
          </w:p>
        </w:tc>
        <w:tc>
          <w:tcPr>
            <w:tcW w:w="931" w:type="pct"/>
          </w:tcPr>
          <w:p w14:paraId="39A949D0"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13%</w:t>
            </w:r>
          </w:p>
        </w:tc>
        <w:tc>
          <w:tcPr>
            <w:tcW w:w="931" w:type="pct"/>
          </w:tcPr>
          <w:p w14:paraId="2E819352"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16%</w:t>
            </w:r>
          </w:p>
        </w:tc>
        <w:tc>
          <w:tcPr>
            <w:tcW w:w="930" w:type="pct"/>
          </w:tcPr>
          <w:p w14:paraId="3BFD73B3"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20%</w:t>
            </w:r>
          </w:p>
        </w:tc>
      </w:tr>
      <w:tr w:rsidR="009B38FB" w:rsidRPr="009B38FB" w14:paraId="18F7D7A4" w14:textId="77777777" w:rsidTr="004310B0">
        <w:trPr>
          <w:trHeight w:val="283"/>
        </w:trPr>
        <w:tc>
          <w:tcPr>
            <w:cnfStyle w:val="001000000000" w:firstRow="0" w:lastRow="0" w:firstColumn="1" w:lastColumn="0" w:oddVBand="0" w:evenVBand="0" w:oddHBand="0" w:evenHBand="0" w:firstRowFirstColumn="0" w:firstRowLastColumn="0" w:lastRowFirstColumn="0" w:lastRowLastColumn="0"/>
            <w:tcW w:w="346" w:type="pct"/>
            <w:vAlign w:val="bottom"/>
          </w:tcPr>
          <w:p w14:paraId="6233AFBD"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lastRenderedPageBreak/>
              <w:t>2017</w:t>
            </w:r>
          </w:p>
        </w:tc>
        <w:tc>
          <w:tcPr>
            <w:tcW w:w="931" w:type="pct"/>
          </w:tcPr>
          <w:p w14:paraId="73E9DAB2"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0.028</w:t>
            </w:r>
          </w:p>
        </w:tc>
        <w:tc>
          <w:tcPr>
            <w:tcW w:w="931" w:type="pct"/>
          </w:tcPr>
          <w:p w14:paraId="6D77D439"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9%</w:t>
            </w:r>
          </w:p>
        </w:tc>
        <w:tc>
          <w:tcPr>
            <w:tcW w:w="931" w:type="pct"/>
          </w:tcPr>
          <w:p w14:paraId="29158EC3"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13%</w:t>
            </w:r>
          </w:p>
        </w:tc>
        <w:tc>
          <w:tcPr>
            <w:tcW w:w="931" w:type="pct"/>
          </w:tcPr>
          <w:p w14:paraId="3B1292A7"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15%</w:t>
            </w:r>
          </w:p>
        </w:tc>
        <w:tc>
          <w:tcPr>
            <w:tcW w:w="930" w:type="pct"/>
          </w:tcPr>
          <w:p w14:paraId="5290D2E7"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19%</w:t>
            </w:r>
          </w:p>
        </w:tc>
      </w:tr>
      <w:tr w:rsidR="009B38FB" w:rsidRPr="009B38FB" w14:paraId="6422BF54" w14:textId="77777777" w:rsidTr="004310B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6" w:type="pct"/>
            <w:vAlign w:val="bottom"/>
          </w:tcPr>
          <w:p w14:paraId="77185B62"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2018</w:t>
            </w:r>
          </w:p>
        </w:tc>
        <w:tc>
          <w:tcPr>
            <w:tcW w:w="931" w:type="pct"/>
          </w:tcPr>
          <w:p w14:paraId="7C76B044"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0.071</w:t>
            </w:r>
          </w:p>
        </w:tc>
        <w:tc>
          <w:tcPr>
            <w:tcW w:w="931" w:type="pct"/>
          </w:tcPr>
          <w:p w14:paraId="70550FAB"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8%</w:t>
            </w:r>
          </w:p>
        </w:tc>
        <w:tc>
          <w:tcPr>
            <w:tcW w:w="931" w:type="pct"/>
          </w:tcPr>
          <w:p w14:paraId="0A4713C7"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13%</w:t>
            </w:r>
          </w:p>
        </w:tc>
        <w:tc>
          <w:tcPr>
            <w:tcW w:w="931" w:type="pct"/>
          </w:tcPr>
          <w:p w14:paraId="63CE681F"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14%</w:t>
            </w:r>
          </w:p>
        </w:tc>
        <w:tc>
          <w:tcPr>
            <w:tcW w:w="930" w:type="pct"/>
          </w:tcPr>
          <w:p w14:paraId="007D5B43"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19%</w:t>
            </w:r>
          </w:p>
        </w:tc>
      </w:tr>
      <w:tr w:rsidR="009B38FB" w:rsidRPr="009B38FB" w14:paraId="6C08DC95" w14:textId="77777777" w:rsidTr="004310B0">
        <w:trPr>
          <w:trHeight w:val="283"/>
        </w:trPr>
        <w:tc>
          <w:tcPr>
            <w:cnfStyle w:val="001000000000" w:firstRow="0" w:lastRow="0" w:firstColumn="1" w:lastColumn="0" w:oddVBand="0" w:evenVBand="0" w:oddHBand="0" w:evenHBand="0" w:firstRowFirstColumn="0" w:firstRowLastColumn="0" w:lastRowFirstColumn="0" w:lastRowLastColumn="0"/>
            <w:tcW w:w="346" w:type="pct"/>
            <w:vAlign w:val="bottom"/>
          </w:tcPr>
          <w:p w14:paraId="2412D6E1"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2019</w:t>
            </w:r>
          </w:p>
        </w:tc>
        <w:tc>
          <w:tcPr>
            <w:tcW w:w="931" w:type="pct"/>
          </w:tcPr>
          <w:p w14:paraId="01CA411F"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0.096</w:t>
            </w:r>
          </w:p>
        </w:tc>
        <w:tc>
          <w:tcPr>
            <w:tcW w:w="931" w:type="pct"/>
          </w:tcPr>
          <w:p w14:paraId="4730EB66"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8%</w:t>
            </w:r>
          </w:p>
        </w:tc>
        <w:tc>
          <w:tcPr>
            <w:tcW w:w="931" w:type="pct"/>
          </w:tcPr>
          <w:p w14:paraId="3AC3772F"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13%</w:t>
            </w:r>
          </w:p>
        </w:tc>
        <w:tc>
          <w:tcPr>
            <w:tcW w:w="931" w:type="pct"/>
          </w:tcPr>
          <w:p w14:paraId="77C0095B"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14%</w:t>
            </w:r>
          </w:p>
        </w:tc>
        <w:tc>
          <w:tcPr>
            <w:tcW w:w="930" w:type="pct"/>
          </w:tcPr>
          <w:p w14:paraId="1D33EC9C"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19%</w:t>
            </w:r>
          </w:p>
        </w:tc>
      </w:tr>
      <w:tr w:rsidR="009B38FB" w:rsidRPr="009B38FB" w14:paraId="440F1BD5" w14:textId="77777777" w:rsidTr="004310B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6" w:type="pct"/>
            <w:vAlign w:val="bottom"/>
          </w:tcPr>
          <w:p w14:paraId="2B033E03"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2020</w:t>
            </w:r>
          </w:p>
        </w:tc>
        <w:tc>
          <w:tcPr>
            <w:tcW w:w="931" w:type="pct"/>
          </w:tcPr>
          <w:p w14:paraId="366EB290"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0.092</w:t>
            </w:r>
          </w:p>
        </w:tc>
        <w:tc>
          <w:tcPr>
            <w:tcW w:w="931" w:type="pct"/>
          </w:tcPr>
          <w:p w14:paraId="4FC4FE00"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8%</w:t>
            </w:r>
          </w:p>
        </w:tc>
        <w:tc>
          <w:tcPr>
            <w:tcW w:w="931" w:type="pct"/>
          </w:tcPr>
          <w:p w14:paraId="53512EF9"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13%</w:t>
            </w:r>
          </w:p>
        </w:tc>
        <w:tc>
          <w:tcPr>
            <w:tcW w:w="931" w:type="pct"/>
          </w:tcPr>
          <w:p w14:paraId="6C83F2A7"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14%</w:t>
            </w:r>
          </w:p>
        </w:tc>
        <w:tc>
          <w:tcPr>
            <w:tcW w:w="930" w:type="pct"/>
          </w:tcPr>
          <w:p w14:paraId="1D00D599"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19%</w:t>
            </w:r>
          </w:p>
        </w:tc>
      </w:tr>
      <w:tr w:rsidR="009B38FB" w:rsidRPr="009B38FB" w14:paraId="5C5E572F" w14:textId="77777777" w:rsidTr="004310B0">
        <w:trPr>
          <w:trHeight w:val="283"/>
        </w:trPr>
        <w:tc>
          <w:tcPr>
            <w:cnfStyle w:val="001000000000" w:firstRow="0" w:lastRow="0" w:firstColumn="1" w:lastColumn="0" w:oddVBand="0" w:evenVBand="0" w:oddHBand="0" w:evenHBand="0" w:firstRowFirstColumn="0" w:firstRowLastColumn="0" w:lastRowFirstColumn="0" w:lastRowLastColumn="0"/>
            <w:tcW w:w="346" w:type="pct"/>
            <w:vAlign w:val="bottom"/>
          </w:tcPr>
          <w:p w14:paraId="12AB9EA3"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2025</w:t>
            </w:r>
          </w:p>
        </w:tc>
        <w:tc>
          <w:tcPr>
            <w:tcW w:w="931" w:type="pct"/>
          </w:tcPr>
          <w:p w14:paraId="5CF1880A"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0.086</w:t>
            </w:r>
          </w:p>
        </w:tc>
        <w:tc>
          <w:tcPr>
            <w:tcW w:w="931" w:type="pct"/>
          </w:tcPr>
          <w:p w14:paraId="38FCC3A5"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16%</w:t>
            </w:r>
          </w:p>
        </w:tc>
        <w:tc>
          <w:tcPr>
            <w:tcW w:w="931" w:type="pct"/>
          </w:tcPr>
          <w:p w14:paraId="53EA6CE1"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19%</w:t>
            </w:r>
          </w:p>
        </w:tc>
        <w:tc>
          <w:tcPr>
            <w:tcW w:w="931" w:type="pct"/>
          </w:tcPr>
          <w:p w14:paraId="635FC8B5"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21%</w:t>
            </w:r>
          </w:p>
        </w:tc>
        <w:tc>
          <w:tcPr>
            <w:tcW w:w="930" w:type="pct"/>
          </w:tcPr>
          <w:p w14:paraId="6CA3A0D7"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24%</w:t>
            </w:r>
          </w:p>
        </w:tc>
      </w:tr>
      <w:tr w:rsidR="009B38FB" w:rsidRPr="009B38FB" w14:paraId="76CEFB3E" w14:textId="77777777" w:rsidTr="004310B0">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346" w:type="pct"/>
            <w:vAlign w:val="bottom"/>
          </w:tcPr>
          <w:p w14:paraId="2A438250"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2030</w:t>
            </w:r>
          </w:p>
        </w:tc>
        <w:tc>
          <w:tcPr>
            <w:tcW w:w="931" w:type="pct"/>
          </w:tcPr>
          <w:p w14:paraId="7AEB018A"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0.083</w:t>
            </w:r>
          </w:p>
        </w:tc>
        <w:tc>
          <w:tcPr>
            <w:tcW w:w="931" w:type="pct"/>
          </w:tcPr>
          <w:p w14:paraId="24A6FA1B"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19%</w:t>
            </w:r>
          </w:p>
        </w:tc>
        <w:tc>
          <w:tcPr>
            <w:tcW w:w="931" w:type="pct"/>
          </w:tcPr>
          <w:p w14:paraId="34D591BC"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18%</w:t>
            </w:r>
          </w:p>
        </w:tc>
        <w:tc>
          <w:tcPr>
            <w:tcW w:w="931" w:type="pct"/>
          </w:tcPr>
          <w:p w14:paraId="0044AE6B"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24%</w:t>
            </w:r>
          </w:p>
        </w:tc>
        <w:tc>
          <w:tcPr>
            <w:tcW w:w="930" w:type="pct"/>
          </w:tcPr>
          <w:p w14:paraId="65E3FF88" w14:textId="77777777" w:rsidR="009B38FB" w:rsidRPr="009B38FB" w:rsidRDefault="009B38FB" w:rsidP="009B38FB">
            <w:pPr>
              <w:spacing w:before="40" w:after="40"/>
              <w:jc w:val="center"/>
              <w:cnfStyle w:val="000000100000" w:firstRow="0" w:lastRow="0" w:firstColumn="0" w:lastColumn="0" w:oddVBand="0" w:evenVBand="0" w:oddHBand="1" w:evenHBand="0" w:firstRowFirstColumn="0" w:firstRowLastColumn="0" w:lastRowFirstColumn="0" w:lastRowLastColumn="0"/>
              <w:rPr>
                <w:rFonts w:cs="Arial"/>
                <w:color w:val="000000"/>
                <w:sz w:val="18"/>
                <w:szCs w:val="18"/>
              </w:rPr>
            </w:pPr>
            <w:r w:rsidRPr="009B38FB">
              <w:rPr>
                <w:rFonts w:cs="Arial"/>
                <w:color w:val="000000"/>
                <w:sz w:val="18"/>
                <w:szCs w:val="18"/>
              </w:rPr>
              <w:t>23%</w:t>
            </w:r>
          </w:p>
        </w:tc>
      </w:tr>
      <w:tr w:rsidR="009B38FB" w:rsidRPr="009B38FB" w14:paraId="3D477ABF" w14:textId="77777777" w:rsidTr="004310B0">
        <w:trPr>
          <w:trHeight w:val="283"/>
        </w:trPr>
        <w:tc>
          <w:tcPr>
            <w:cnfStyle w:val="001000000000" w:firstRow="0" w:lastRow="0" w:firstColumn="1" w:lastColumn="0" w:oddVBand="0" w:evenVBand="0" w:oddHBand="0" w:evenHBand="0" w:firstRowFirstColumn="0" w:firstRowLastColumn="0" w:lastRowFirstColumn="0" w:lastRowLastColumn="0"/>
            <w:tcW w:w="346" w:type="pct"/>
            <w:vAlign w:val="bottom"/>
          </w:tcPr>
          <w:p w14:paraId="7D8964E4" w14:textId="77777777" w:rsidR="009B38FB" w:rsidRPr="009B38FB" w:rsidRDefault="009B38FB" w:rsidP="009B38FB">
            <w:pPr>
              <w:spacing w:before="40" w:after="40"/>
              <w:jc w:val="center"/>
              <w:rPr>
                <w:rFonts w:cs="Arial"/>
                <w:color w:val="000000"/>
                <w:sz w:val="18"/>
                <w:szCs w:val="18"/>
              </w:rPr>
            </w:pPr>
            <w:r w:rsidRPr="009B38FB">
              <w:rPr>
                <w:rFonts w:cs="Arial"/>
                <w:color w:val="000000"/>
                <w:sz w:val="18"/>
                <w:szCs w:val="18"/>
              </w:rPr>
              <w:t>2033</w:t>
            </w:r>
          </w:p>
        </w:tc>
        <w:tc>
          <w:tcPr>
            <w:tcW w:w="931" w:type="pct"/>
          </w:tcPr>
          <w:p w14:paraId="1AF08A46"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0.056</w:t>
            </w:r>
          </w:p>
        </w:tc>
        <w:tc>
          <w:tcPr>
            <w:tcW w:w="931" w:type="pct"/>
          </w:tcPr>
          <w:p w14:paraId="18F55442"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16%</w:t>
            </w:r>
          </w:p>
        </w:tc>
        <w:tc>
          <w:tcPr>
            <w:tcW w:w="931" w:type="pct"/>
          </w:tcPr>
          <w:p w14:paraId="16AE1DA1"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17%</w:t>
            </w:r>
          </w:p>
        </w:tc>
        <w:tc>
          <w:tcPr>
            <w:tcW w:w="931" w:type="pct"/>
          </w:tcPr>
          <w:p w14:paraId="30B35F10"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22%</w:t>
            </w:r>
          </w:p>
        </w:tc>
        <w:tc>
          <w:tcPr>
            <w:tcW w:w="930" w:type="pct"/>
          </w:tcPr>
          <w:p w14:paraId="6C52BDC7" w14:textId="77777777" w:rsidR="009B38FB" w:rsidRPr="009B38FB" w:rsidRDefault="009B38FB" w:rsidP="009B38FB">
            <w:pPr>
              <w:spacing w:before="40" w:after="40"/>
              <w:jc w:val="center"/>
              <w:cnfStyle w:val="000000000000" w:firstRow="0" w:lastRow="0" w:firstColumn="0" w:lastColumn="0" w:oddVBand="0" w:evenVBand="0" w:oddHBand="0" w:evenHBand="0" w:firstRowFirstColumn="0" w:firstRowLastColumn="0" w:lastRowFirstColumn="0" w:lastRowLastColumn="0"/>
              <w:rPr>
                <w:rFonts w:cs="Arial"/>
                <w:color w:val="000000"/>
                <w:sz w:val="18"/>
                <w:szCs w:val="18"/>
              </w:rPr>
            </w:pPr>
            <w:r w:rsidRPr="009B38FB">
              <w:rPr>
                <w:rFonts w:cs="Arial"/>
                <w:color w:val="000000"/>
                <w:sz w:val="18"/>
                <w:szCs w:val="18"/>
              </w:rPr>
              <w:t>23%</w:t>
            </w:r>
          </w:p>
        </w:tc>
      </w:tr>
    </w:tbl>
    <w:p w14:paraId="7A3CCA2C" w14:textId="77777777" w:rsidR="009B38FB" w:rsidRPr="009B38FB" w:rsidRDefault="009B38FB" w:rsidP="009B38FB"/>
    <w:p w14:paraId="1CE21EBF" w14:textId="77777777" w:rsidR="00292609" w:rsidRDefault="00292609" w:rsidP="00DE0F07">
      <w:pPr>
        <w:jc w:val="left"/>
        <w:rPr>
          <w:lang w:val="en-US"/>
        </w:rPr>
        <w:sectPr w:rsidR="00292609" w:rsidSect="004310B0">
          <w:headerReference w:type="default" r:id="rId40"/>
          <w:footerReference w:type="default" r:id="rId41"/>
          <w:pgSz w:w="12240" w:h="15840"/>
          <w:pgMar w:top="1440" w:right="1440" w:bottom="1440" w:left="1440" w:header="708" w:footer="708" w:gutter="0"/>
          <w:lnNumType w:countBy="1"/>
          <w:cols w:space="708"/>
          <w:docGrid w:linePitch="360"/>
        </w:sectPr>
      </w:pPr>
    </w:p>
    <w:p w14:paraId="3ACFC2C0" w14:textId="77777777" w:rsidR="004310B0" w:rsidRPr="00A63F6F" w:rsidRDefault="004310B0" w:rsidP="00E67133">
      <w:pPr>
        <w:pStyle w:val="Heading2"/>
        <w:numPr>
          <w:ilvl w:val="0"/>
          <w:numId w:val="0"/>
        </w:numPr>
        <w:ind w:left="450"/>
      </w:pPr>
      <w:bookmarkStart w:id="160" w:name="_Toc426649368"/>
      <w:r>
        <w:lastRenderedPageBreak/>
        <w:t>Appendix F – Comparison Between FBC and BCH Approaches for PRM</w:t>
      </w:r>
      <w:bookmarkEnd w:id="160"/>
    </w:p>
    <w:p w14:paraId="36368F43" w14:textId="77777777" w:rsidR="00292609" w:rsidRDefault="00292609" w:rsidP="00292609">
      <w:pPr>
        <w:rPr>
          <w:lang w:val="en-US"/>
        </w:rPr>
      </w:pPr>
      <w:r>
        <w:rPr>
          <w:lang w:val="en-US"/>
        </w:rPr>
        <w:t xml:space="preserve">Since BCH is the closest utility to FBC in terms of geographical proximity, energy policy, and direct partnerships in a number of agreements, it is useful to compare the two utilities’ PRM approaches. </w:t>
      </w:r>
      <w:r>
        <w:rPr>
          <w:lang w:val="en-US"/>
        </w:rPr>
        <w:fldChar w:fldCharType="begin"/>
      </w:r>
      <w:r>
        <w:rPr>
          <w:lang w:val="en-US"/>
        </w:rPr>
        <w:instrText xml:space="preserve"> REF _Ref357584135 \r \h </w:instrText>
      </w:r>
      <w:r>
        <w:rPr>
          <w:lang w:val="en-US"/>
        </w:rPr>
      </w:r>
      <w:r>
        <w:rPr>
          <w:lang w:val="en-US"/>
        </w:rPr>
        <w:fldChar w:fldCharType="separate"/>
      </w:r>
      <w:r>
        <w:rPr>
          <w:lang w:val="en-US"/>
        </w:rPr>
        <w:t>Appendix F</w:t>
      </w:r>
      <w:r>
        <w:rPr>
          <w:lang w:val="en-US"/>
        </w:rPr>
        <w:fldChar w:fldCharType="end"/>
      </w:r>
      <w:r>
        <w:rPr>
          <w:lang w:val="en-US"/>
        </w:rPr>
        <w:t xml:space="preserve"> presents a comparison. </w:t>
      </w:r>
    </w:p>
    <w:tbl>
      <w:tblPr>
        <w:tblStyle w:val="LightList-Accent11"/>
        <w:tblW w:w="0" w:type="auto"/>
        <w:tblLook w:val="04A0" w:firstRow="1" w:lastRow="0" w:firstColumn="1" w:lastColumn="0" w:noHBand="0" w:noVBand="1"/>
      </w:tblPr>
      <w:tblGrid>
        <w:gridCol w:w="2099"/>
        <w:gridCol w:w="3541"/>
        <w:gridCol w:w="3936"/>
      </w:tblGrid>
      <w:tr w:rsidR="00292609" w:rsidRPr="002F79ED" w14:paraId="7B77465F" w14:textId="77777777" w:rsidTr="004310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622D3CE" w14:textId="77777777" w:rsidR="00292609" w:rsidRPr="002F79ED" w:rsidRDefault="00292609" w:rsidP="004310B0">
            <w:pPr>
              <w:spacing w:before="40" w:after="40"/>
              <w:jc w:val="left"/>
              <w:rPr>
                <w:rFonts w:cs="Arial"/>
                <w:sz w:val="20"/>
                <w:szCs w:val="20"/>
                <w:lang w:val="en-US"/>
              </w:rPr>
            </w:pPr>
            <w:r w:rsidRPr="002F79ED">
              <w:rPr>
                <w:rFonts w:cs="Arial"/>
                <w:sz w:val="20"/>
                <w:szCs w:val="20"/>
                <w:lang w:val="en-US"/>
              </w:rPr>
              <w:t>Feature</w:t>
            </w:r>
          </w:p>
        </w:tc>
        <w:tc>
          <w:tcPr>
            <w:tcW w:w="0" w:type="auto"/>
          </w:tcPr>
          <w:p w14:paraId="61247733" w14:textId="77777777" w:rsidR="00292609" w:rsidRPr="002F79ED" w:rsidRDefault="00292609" w:rsidP="004310B0">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20"/>
                <w:szCs w:val="20"/>
                <w:lang w:val="en-US"/>
              </w:rPr>
            </w:pPr>
            <w:r w:rsidRPr="002F79ED">
              <w:rPr>
                <w:rFonts w:cs="Arial"/>
                <w:sz w:val="20"/>
                <w:szCs w:val="20"/>
                <w:lang w:val="en-US"/>
              </w:rPr>
              <w:t>FBC</w:t>
            </w:r>
          </w:p>
        </w:tc>
        <w:tc>
          <w:tcPr>
            <w:tcW w:w="0" w:type="auto"/>
          </w:tcPr>
          <w:p w14:paraId="4EFDD8E9" w14:textId="77777777" w:rsidR="00292609" w:rsidRPr="002F79ED" w:rsidRDefault="00292609" w:rsidP="004310B0">
            <w:pPr>
              <w:spacing w:before="40" w:after="40"/>
              <w:jc w:val="left"/>
              <w:cnfStyle w:val="100000000000" w:firstRow="1" w:lastRow="0" w:firstColumn="0" w:lastColumn="0" w:oddVBand="0" w:evenVBand="0" w:oddHBand="0" w:evenHBand="0" w:firstRowFirstColumn="0" w:firstRowLastColumn="0" w:lastRowFirstColumn="0" w:lastRowLastColumn="0"/>
              <w:rPr>
                <w:rFonts w:cs="Arial"/>
                <w:sz w:val="20"/>
                <w:szCs w:val="20"/>
                <w:lang w:val="en-US"/>
              </w:rPr>
            </w:pPr>
            <w:r w:rsidRPr="002F79ED">
              <w:rPr>
                <w:rFonts w:cs="Arial"/>
                <w:sz w:val="20"/>
                <w:szCs w:val="20"/>
                <w:lang w:val="en-US"/>
              </w:rPr>
              <w:t>BCH</w:t>
            </w:r>
          </w:p>
        </w:tc>
      </w:tr>
      <w:tr w:rsidR="00292609" w:rsidRPr="002F79ED" w14:paraId="5BFD737B" w14:textId="77777777" w:rsidTr="00431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9D3A1A6" w14:textId="77777777" w:rsidR="00292609" w:rsidRPr="002F79ED" w:rsidRDefault="00292609" w:rsidP="004310B0">
            <w:pPr>
              <w:spacing w:before="40" w:after="40"/>
              <w:jc w:val="left"/>
              <w:rPr>
                <w:rFonts w:cs="Arial"/>
                <w:sz w:val="20"/>
                <w:szCs w:val="20"/>
                <w:lang w:val="en-US"/>
              </w:rPr>
            </w:pPr>
            <w:r w:rsidRPr="002F79ED">
              <w:rPr>
                <w:rFonts w:cs="Arial"/>
                <w:sz w:val="20"/>
                <w:szCs w:val="20"/>
                <w:lang w:val="en-US"/>
              </w:rPr>
              <w:t>Definition</w:t>
            </w:r>
          </w:p>
        </w:tc>
        <w:tc>
          <w:tcPr>
            <w:tcW w:w="0" w:type="auto"/>
          </w:tcPr>
          <w:p w14:paraId="36ED2FF4" w14:textId="77777777" w:rsidR="00292609" w:rsidRPr="002F79ED" w:rsidRDefault="00292609" w:rsidP="004310B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2F79ED">
              <w:rPr>
                <w:rFonts w:cs="Arial"/>
                <w:sz w:val="20"/>
                <w:szCs w:val="20"/>
                <w:lang w:val="en-US"/>
              </w:rPr>
              <w:t>Planning Reserve Margin</w:t>
            </w:r>
          </w:p>
          <w:p w14:paraId="44556487" w14:textId="77777777" w:rsidR="00292609" w:rsidRPr="002F79ED" w:rsidRDefault="00292609" w:rsidP="004310B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2F79ED">
              <w:rPr>
                <w:rFonts w:cs="Arial"/>
                <w:sz w:val="20"/>
                <w:szCs w:val="20"/>
                <w:lang w:val="en-US"/>
              </w:rPr>
              <w:t>PRM = (Dependable Capacity – Expected Peak)/Expected Peak</w:t>
            </w:r>
          </w:p>
        </w:tc>
        <w:tc>
          <w:tcPr>
            <w:tcW w:w="0" w:type="auto"/>
          </w:tcPr>
          <w:p w14:paraId="1AFE746C" w14:textId="77777777" w:rsidR="00292609" w:rsidRPr="002F79ED" w:rsidRDefault="00292609" w:rsidP="004310B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2F79ED">
              <w:rPr>
                <w:rFonts w:cs="Arial"/>
                <w:sz w:val="20"/>
                <w:szCs w:val="20"/>
                <w:lang w:val="en-US"/>
              </w:rPr>
              <w:t>Capacity Reserve Margin</w:t>
            </w:r>
          </w:p>
          <w:p w14:paraId="2EC523DC" w14:textId="77777777" w:rsidR="00292609" w:rsidRPr="002F79ED" w:rsidRDefault="00292609" w:rsidP="004310B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2F79ED">
              <w:rPr>
                <w:rFonts w:cs="Arial"/>
                <w:sz w:val="20"/>
                <w:szCs w:val="20"/>
                <w:lang w:val="en-US"/>
              </w:rPr>
              <w:t>CRM = (Dependable Capacity – Expected Peak)/ Dependable Capacity</w:t>
            </w:r>
          </w:p>
        </w:tc>
      </w:tr>
      <w:tr w:rsidR="00292609" w:rsidRPr="002F79ED" w14:paraId="23C87E1B" w14:textId="77777777" w:rsidTr="004310B0">
        <w:tc>
          <w:tcPr>
            <w:cnfStyle w:val="001000000000" w:firstRow="0" w:lastRow="0" w:firstColumn="1" w:lastColumn="0" w:oddVBand="0" w:evenVBand="0" w:oddHBand="0" w:evenHBand="0" w:firstRowFirstColumn="0" w:firstRowLastColumn="0" w:lastRowFirstColumn="0" w:lastRowLastColumn="0"/>
            <w:tcW w:w="0" w:type="auto"/>
          </w:tcPr>
          <w:p w14:paraId="2544173E" w14:textId="77777777" w:rsidR="00292609" w:rsidRPr="002F79ED" w:rsidRDefault="00292609" w:rsidP="004310B0">
            <w:pPr>
              <w:spacing w:before="40" w:after="40"/>
              <w:jc w:val="left"/>
              <w:rPr>
                <w:rFonts w:cs="Arial"/>
                <w:sz w:val="20"/>
                <w:szCs w:val="20"/>
                <w:lang w:val="en-US"/>
              </w:rPr>
            </w:pPr>
            <w:r w:rsidRPr="002F79ED">
              <w:rPr>
                <w:rFonts w:cs="Arial"/>
                <w:sz w:val="20"/>
                <w:szCs w:val="20"/>
                <w:lang w:val="en-US"/>
              </w:rPr>
              <w:t>Reference</w:t>
            </w:r>
          </w:p>
        </w:tc>
        <w:tc>
          <w:tcPr>
            <w:tcW w:w="0" w:type="auto"/>
          </w:tcPr>
          <w:p w14:paraId="403C6C08" w14:textId="77777777" w:rsidR="00292609" w:rsidRPr="002F79ED" w:rsidRDefault="00292609" w:rsidP="004310B0">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2F79ED">
              <w:rPr>
                <w:rFonts w:cs="Arial"/>
                <w:sz w:val="20"/>
                <w:szCs w:val="20"/>
                <w:lang w:val="en-US"/>
              </w:rPr>
              <w:t>201</w:t>
            </w:r>
            <w:r>
              <w:rPr>
                <w:rFonts w:cs="Arial"/>
                <w:sz w:val="20"/>
                <w:szCs w:val="20"/>
                <w:lang w:val="en-US"/>
              </w:rPr>
              <w:t>4</w:t>
            </w:r>
            <w:r w:rsidRPr="002F79ED">
              <w:rPr>
                <w:rFonts w:cs="Arial"/>
                <w:sz w:val="20"/>
                <w:szCs w:val="20"/>
                <w:lang w:val="en-US"/>
              </w:rPr>
              <w:t xml:space="preserve"> PRM Study</w:t>
            </w:r>
          </w:p>
        </w:tc>
        <w:tc>
          <w:tcPr>
            <w:tcW w:w="0" w:type="auto"/>
          </w:tcPr>
          <w:p w14:paraId="690945D2" w14:textId="77777777" w:rsidR="00292609" w:rsidRPr="002F79ED" w:rsidRDefault="00292609" w:rsidP="004310B0">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2F79ED">
              <w:rPr>
                <w:rFonts w:cs="Arial"/>
                <w:sz w:val="20"/>
                <w:szCs w:val="20"/>
                <w:lang w:val="en-US"/>
              </w:rPr>
              <w:t>2013 IRP</w:t>
            </w:r>
          </w:p>
        </w:tc>
      </w:tr>
      <w:tr w:rsidR="00292609" w:rsidRPr="002F79ED" w14:paraId="5C459DF1" w14:textId="77777777" w:rsidTr="00431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D9A8C1A" w14:textId="77777777" w:rsidR="00292609" w:rsidRPr="002F79ED" w:rsidRDefault="00292609" w:rsidP="004310B0">
            <w:pPr>
              <w:spacing w:before="40" w:after="40"/>
              <w:jc w:val="left"/>
              <w:rPr>
                <w:rFonts w:cs="Arial"/>
                <w:sz w:val="20"/>
                <w:szCs w:val="20"/>
                <w:lang w:val="en-US"/>
              </w:rPr>
            </w:pPr>
            <w:r w:rsidRPr="002F79ED">
              <w:rPr>
                <w:rFonts w:cs="Arial"/>
                <w:sz w:val="20"/>
                <w:szCs w:val="20"/>
                <w:lang w:val="en-US"/>
              </w:rPr>
              <w:t>Method</w:t>
            </w:r>
          </w:p>
        </w:tc>
        <w:tc>
          <w:tcPr>
            <w:tcW w:w="0" w:type="auto"/>
          </w:tcPr>
          <w:p w14:paraId="0CFDA76D" w14:textId="77777777" w:rsidR="00292609" w:rsidRPr="002F79ED" w:rsidRDefault="00292609" w:rsidP="004310B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2F79ED">
              <w:rPr>
                <w:rFonts w:cs="Arial"/>
                <w:sz w:val="20"/>
                <w:szCs w:val="20"/>
                <w:lang w:val="en-US"/>
              </w:rPr>
              <w:t>Probabilistic, Stochastic</w:t>
            </w:r>
          </w:p>
          <w:p w14:paraId="7A0CBC3D" w14:textId="77777777" w:rsidR="00292609" w:rsidRPr="002F79ED" w:rsidRDefault="00292609" w:rsidP="004310B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2F79ED">
              <w:rPr>
                <w:rFonts w:cs="Arial"/>
                <w:sz w:val="20"/>
                <w:szCs w:val="20"/>
                <w:lang w:val="en-US"/>
              </w:rPr>
              <w:t>Monte-Carlo simulation</w:t>
            </w:r>
          </w:p>
        </w:tc>
        <w:tc>
          <w:tcPr>
            <w:tcW w:w="0" w:type="auto"/>
          </w:tcPr>
          <w:p w14:paraId="559E607A" w14:textId="77777777" w:rsidR="00292609" w:rsidRPr="002F79ED" w:rsidRDefault="00292609" w:rsidP="004310B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2F79ED">
              <w:rPr>
                <w:rFonts w:cs="Arial"/>
                <w:sz w:val="20"/>
                <w:szCs w:val="20"/>
                <w:lang w:val="en-US"/>
              </w:rPr>
              <w:t>Probabilistic, Deterministic</w:t>
            </w:r>
          </w:p>
          <w:p w14:paraId="37E80CF3" w14:textId="77777777" w:rsidR="00292609" w:rsidRPr="002F79ED" w:rsidRDefault="00292609" w:rsidP="004310B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2F79ED">
              <w:rPr>
                <w:rFonts w:cs="Arial"/>
                <w:sz w:val="20"/>
                <w:szCs w:val="20"/>
                <w:lang w:val="en-US"/>
              </w:rPr>
              <w:t>Capacity Outage Probability Table</w:t>
            </w:r>
          </w:p>
        </w:tc>
      </w:tr>
      <w:tr w:rsidR="00292609" w:rsidRPr="002F79ED" w14:paraId="1B1FB37E" w14:textId="77777777" w:rsidTr="004310B0">
        <w:tc>
          <w:tcPr>
            <w:cnfStyle w:val="001000000000" w:firstRow="0" w:lastRow="0" w:firstColumn="1" w:lastColumn="0" w:oddVBand="0" w:evenVBand="0" w:oddHBand="0" w:evenHBand="0" w:firstRowFirstColumn="0" w:firstRowLastColumn="0" w:lastRowFirstColumn="0" w:lastRowLastColumn="0"/>
            <w:tcW w:w="0" w:type="auto"/>
          </w:tcPr>
          <w:p w14:paraId="75C91451" w14:textId="77777777" w:rsidR="00292609" w:rsidRPr="002F79ED" w:rsidRDefault="00292609" w:rsidP="004310B0">
            <w:pPr>
              <w:spacing w:before="40" w:after="40"/>
              <w:jc w:val="left"/>
              <w:rPr>
                <w:rFonts w:cs="Arial"/>
                <w:sz w:val="20"/>
                <w:szCs w:val="20"/>
                <w:lang w:val="en-US"/>
              </w:rPr>
            </w:pPr>
            <w:r w:rsidRPr="002F79ED">
              <w:rPr>
                <w:rFonts w:cs="Arial"/>
                <w:sz w:val="20"/>
                <w:szCs w:val="20"/>
                <w:lang w:val="en-US"/>
              </w:rPr>
              <w:t>Reliability Metric</w:t>
            </w:r>
          </w:p>
        </w:tc>
        <w:tc>
          <w:tcPr>
            <w:tcW w:w="0" w:type="auto"/>
          </w:tcPr>
          <w:p w14:paraId="3E1D6B9A" w14:textId="77777777" w:rsidR="00292609" w:rsidRPr="002F79ED" w:rsidRDefault="00292609" w:rsidP="004310B0">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2F79ED">
              <w:rPr>
                <w:rFonts w:cs="Arial"/>
                <w:sz w:val="20"/>
                <w:szCs w:val="20"/>
                <w:lang w:val="en-US"/>
              </w:rPr>
              <w:t>LOLE</w:t>
            </w:r>
          </w:p>
        </w:tc>
        <w:tc>
          <w:tcPr>
            <w:tcW w:w="0" w:type="auto"/>
          </w:tcPr>
          <w:p w14:paraId="09B5B64F" w14:textId="77777777" w:rsidR="00292609" w:rsidRPr="002F79ED" w:rsidRDefault="00292609" w:rsidP="004310B0">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2F79ED">
              <w:rPr>
                <w:rFonts w:cs="Arial"/>
                <w:sz w:val="20"/>
                <w:szCs w:val="20"/>
                <w:lang w:val="en-US"/>
              </w:rPr>
              <w:t>LOLE</w:t>
            </w:r>
          </w:p>
        </w:tc>
      </w:tr>
      <w:tr w:rsidR="00292609" w:rsidRPr="002F79ED" w14:paraId="3ED5BF28" w14:textId="77777777" w:rsidTr="00431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A35A47E" w14:textId="77777777" w:rsidR="00292609" w:rsidRPr="002F79ED" w:rsidRDefault="00292609" w:rsidP="004310B0">
            <w:pPr>
              <w:spacing w:before="40" w:after="40"/>
              <w:jc w:val="left"/>
              <w:rPr>
                <w:rFonts w:cs="Arial"/>
                <w:sz w:val="20"/>
                <w:szCs w:val="20"/>
                <w:lang w:val="en-US"/>
              </w:rPr>
            </w:pPr>
            <w:r w:rsidRPr="002F79ED">
              <w:rPr>
                <w:rFonts w:cs="Arial"/>
                <w:sz w:val="20"/>
                <w:szCs w:val="20"/>
                <w:lang w:val="en-US"/>
              </w:rPr>
              <w:t>Reliability Target</w:t>
            </w:r>
          </w:p>
        </w:tc>
        <w:tc>
          <w:tcPr>
            <w:tcW w:w="0" w:type="auto"/>
          </w:tcPr>
          <w:p w14:paraId="66F446B2" w14:textId="77777777" w:rsidR="00292609" w:rsidRPr="002F79ED" w:rsidRDefault="00292609" w:rsidP="004310B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2F79ED">
              <w:rPr>
                <w:rFonts w:cs="Arial"/>
                <w:sz w:val="20"/>
                <w:szCs w:val="20"/>
                <w:lang w:val="en-US"/>
              </w:rPr>
              <w:t>0.1 days/year</w:t>
            </w:r>
          </w:p>
        </w:tc>
        <w:tc>
          <w:tcPr>
            <w:tcW w:w="0" w:type="auto"/>
          </w:tcPr>
          <w:p w14:paraId="4448FB19" w14:textId="77777777" w:rsidR="00292609" w:rsidRPr="002F79ED" w:rsidRDefault="00292609" w:rsidP="004310B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2F79ED">
              <w:rPr>
                <w:rFonts w:cs="Arial"/>
                <w:sz w:val="20"/>
                <w:szCs w:val="20"/>
                <w:lang w:val="en-US"/>
              </w:rPr>
              <w:t>0.1 days/year</w:t>
            </w:r>
          </w:p>
        </w:tc>
      </w:tr>
      <w:tr w:rsidR="00292609" w:rsidRPr="002F79ED" w14:paraId="7C4A0C32" w14:textId="77777777" w:rsidTr="004310B0">
        <w:tc>
          <w:tcPr>
            <w:cnfStyle w:val="001000000000" w:firstRow="0" w:lastRow="0" w:firstColumn="1" w:lastColumn="0" w:oddVBand="0" w:evenVBand="0" w:oddHBand="0" w:evenHBand="0" w:firstRowFirstColumn="0" w:firstRowLastColumn="0" w:lastRowFirstColumn="0" w:lastRowLastColumn="0"/>
            <w:tcW w:w="0" w:type="auto"/>
          </w:tcPr>
          <w:p w14:paraId="2913298A" w14:textId="77777777" w:rsidR="00292609" w:rsidRPr="002F79ED" w:rsidRDefault="00292609" w:rsidP="004310B0">
            <w:pPr>
              <w:spacing w:before="40" w:after="40"/>
              <w:jc w:val="left"/>
              <w:rPr>
                <w:rFonts w:cs="Arial"/>
                <w:sz w:val="20"/>
                <w:szCs w:val="20"/>
                <w:lang w:val="en-US"/>
              </w:rPr>
            </w:pPr>
            <w:r w:rsidRPr="002F79ED">
              <w:rPr>
                <w:rFonts w:cs="Arial"/>
                <w:sz w:val="20"/>
                <w:szCs w:val="20"/>
                <w:lang w:val="en-US"/>
              </w:rPr>
              <w:t>Study Years</w:t>
            </w:r>
          </w:p>
        </w:tc>
        <w:tc>
          <w:tcPr>
            <w:tcW w:w="0" w:type="auto"/>
          </w:tcPr>
          <w:p w14:paraId="5F2D5BF6" w14:textId="77777777" w:rsidR="00292609" w:rsidRPr="002F79ED" w:rsidRDefault="00292609" w:rsidP="004310B0">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2F79ED">
              <w:rPr>
                <w:rFonts w:cs="Arial"/>
                <w:sz w:val="20"/>
                <w:szCs w:val="20"/>
                <w:lang w:val="en-US"/>
              </w:rPr>
              <w:t>All years in the planning horizon (2014-2033)</w:t>
            </w:r>
          </w:p>
        </w:tc>
        <w:tc>
          <w:tcPr>
            <w:tcW w:w="0" w:type="auto"/>
          </w:tcPr>
          <w:p w14:paraId="6A2DDB7C" w14:textId="77777777" w:rsidR="00292609" w:rsidRPr="002F79ED" w:rsidRDefault="00292609" w:rsidP="004310B0">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2F79ED">
              <w:rPr>
                <w:rFonts w:cs="Arial"/>
                <w:sz w:val="20"/>
                <w:szCs w:val="20"/>
                <w:lang w:val="en-US"/>
              </w:rPr>
              <w:t>Single year 2008/2009, then generalized</w:t>
            </w:r>
          </w:p>
        </w:tc>
      </w:tr>
      <w:tr w:rsidR="00292609" w:rsidRPr="002F79ED" w14:paraId="340A0364" w14:textId="77777777" w:rsidTr="00431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FC2C670" w14:textId="77777777" w:rsidR="00292609" w:rsidRPr="002F79ED" w:rsidRDefault="00292609" w:rsidP="004310B0">
            <w:pPr>
              <w:spacing w:before="40" w:after="40"/>
              <w:jc w:val="left"/>
              <w:rPr>
                <w:rFonts w:cs="Arial"/>
                <w:sz w:val="20"/>
                <w:szCs w:val="20"/>
                <w:lang w:val="en-US"/>
              </w:rPr>
            </w:pPr>
            <w:r w:rsidRPr="002F79ED">
              <w:rPr>
                <w:rFonts w:cs="Arial"/>
                <w:sz w:val="20"/>
                <w:szCs w:val="20"/>
                <w:lang w:val="en-US"/>
              </w:rPr>
              <w:t>PRM Value</w:t>
            </w:r>
          </w:p>
        </w:tc>
        <w:tc>
          <w:tcPr>
            <w:tcW w:w="0" w:type="auto"/>
          </w:tcPr>
          <w:p w14:paraId="2E437C4C" w14:textId="77777777" w:rsidR="00292609" w:rsidRPr="002F79ED" w:rsidRDefault="00292609" w:rsidP="004310B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2F79ED">
              <w:rPr>
                <w:rFonts w:cs="Arial"/>
                <w:sz w:val="20"/>
                <w:szCs w:val="20"/>
                <w:lang w:val="en-US"/>
              </w:rPr>
              <w:t>Vary by months and years</w:t>
            </w:r>
          </w:p>
        </w:tc>
        <w:tc>
          <w:tcPr>
            <w:tcW w:w="0" w:type="auto"/>
          </w:tcPr>
          <w:p w14:paraId="6E043FA1" w14:textId="77777777" w:rsidR="00292609" w:rsidRPr="002F79ED" w:rsidRDefault="00292609" w:rsidP="004310B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2F79ED">
              <w:rPr>
                <w:rFonts w:cs="Arial"/>
                <w:sz w:val="20"/>
                <w:szCs w:val="20"/>
                <w:lang w:val="en-US"/>
              </w:rPr>
              <w:t>Vary at 14% of existing and committed resources, annually</w:t>
            </w:r>
          </w:p>
        </w:tc>
      </w:tr>
      <w:tr w:rsidR="00292609" w:rsidRPr="002F79ED" w14:paraId="736C3BAB" w14:textId="77777777" w:rsidTr="004310B0">
        <w:tc>
          <w:tcPr>
            <w:cnfStyle w:val="001000000000" w:firstRow="0" w:lastRow="0" w:firstColumn="1" w:lastColumn="0" w:oddVBand="0" w:evenVBand="0" w:oddHBand="0" w:evenHBand="0" w:firstRowFirstColumn="0" w:firstRowLastColumn="0" w:lastRowFirstColumn="0" w:lastRowLastColumn="0"/>
            <w:tcW w:w="0" w:type="auto"/>
          </w:tcPr>
          <w:p w14:paraId="7F30EF90" w14:textId="77777777" w:rsidR="00292609" w:rsidRPr="002F79ED" w:rsidRDefault="00292609" w:rsidP="004310B0">
            <w:pPr>
              <w:spacing w:before="40" w:after="40"/>
              <w:jc w:val="left"/>
              <w:rPr>
                <w:rFonts w:cs="Arial"/>
                <w:sz w:val="20"/>
                <w:szCs w:val="20"/>
                <w:lang w:val="en-US"/>
              </w:rPr>
            </w:pPr>
            <w:r w:rsidRPr="002F79ED">
              <w:rPr>
                <w:rFonts w:cs="Arial"/>
                <w:sz w:val="20"/>
                <w:szCs w:val="20"/>
                <w:lang w:val="en-US"/>
              </w:rPr>
              <w:t>Inclusion of OR</w:t>
            </w:r>
          </w:p>
        </w:tc>
        <w:tc>
          <w:tcPr>
            <w:tcW w:w="0" w:type="auto"/>
          </w:tcPr>
          <w:p w14:paraId="13635828" w14:textId="77777777" w:rsidR="00292609" w:rsidRPr="002F79ED" w:rsidRDefault="00292609" w:rsidP="004310B0">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2F79ED">
              <w:rPr>
                <w:rFonts w:cs="Arial"/>
                <w:sz w:val="20"/>
                <w:szCs w:val="20"/>
                <w:lang w:val="en-US"/>
              </w:rPr>
              <w:t>Can be stated with and without OR</w:t>
            </w:r>
          </w:p>
        </w:tc>
        <w:tc>
          <w:tcPr>
            <w:tcW w:w="0" w:type="auto"/>
          </w:tcPr>
          <w:p w14:paraId="6539BF49" w14:textId="77777777" w:rsidR="00292609" w:rsidRPr="002F79ED" w:rsidRDefault="00292609" w:rsidP="004310B0">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Pr>
                <w:rFonts w:cs="Arial"/>
                <w:sz w:val="20"/>
                <w:szCs w:val="20"/>
                <w:lang w:val="en-US"/>
              </w:rPr>
              <w:t>Included</w:t>
            </w:r>
          </w:p>
        </w:tc>
      </w:tr>
      <w:tr w:rsidR="00292609" w:rsidRPr="002F79ED" w14:paraId="3BAC742D" w14:textId="77777777" w:rsidTr="00431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A39FB65" w14:textId="77777777" w:rsidR="00292609" w:rsidRPr="002F79ED" w:rsidRDefault="00292609" w:rsidP="004310B0">
            <w:pPr>
              <w:spacing w:before="40" w:after="40"/>
              <w:jc w:val="left"/>
              <w:rPr>
                <w:rFonts w:cs="Arial"/>
                <w:sz w:val="20"/>
                <w:szCs w:val="20"/>
                <w:lang w:val="en-US"/>
              </w:rPr>
            </w:pPr>
            <w:r w:rsidRPr="002F79ED">
              <w:rPr>
                <w:rFonts w:cs="Arial"/>
                <w:sz w:val="20"/>
                <w:szCs w:val="20"/>
                <w:lang w:val="en-US"/>
              </w:rPr>
              <w:t xml:space="preserve">Market Reliance </w:t>
            </w:r>
          </w:p>
        </w:tc>
        <w:tc>
          <w:tcPr>
            <w:tcW w:w="0" w:type="auto"/>
          </w:tcPr>
          <w:p w14:paraId="3D6E174D" w14:textId="77777777" w:rsidR="00292609" w:rsidRPr="002F79ED" w:rsidRDefault="00292609" w:rsidP="004310B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2F79ED">
              <w:rPr>
                <w:rFonts w:cs="Arial"/>
                <w:sz w:val="20"/>
                <w:szCs w:val="20"/>
                <w:lang w:val="en-US"/>
              </w:rPr>
              <w:t>Yes (up to 150MW, transmission FOR 0.74%)</w:t>
            </w:r>
          </w:p>
        </w:tc>
        <w:tc>
          <w:tcPr>
            <w:tcW w:w="0" w:type="auto"/>
          </w:tcPr>
          <w:p w14:paraId="4380B4FF" w14:textId="77777777" w:rsidR="00292609" w:rsidRPr="002F79ED" w:rsidRDefault="00292609" w:rsidP="004310B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Pr>
                <w:rFonts w:cs="Arial"/>
                <w:sz w:val="20"/>
                <w:szCs w:val="20"/>
                <w:lang w:val="en-US"/>
              </w:rPr>
              <w:t>Yes (u</w:t>
            </w:r>
            <w:r w:rsidRPr="002F79ED">
              <w:rPr>
                <w:rFonts w:cs="Arial"/>
                <w:sz w:val="20"/>
                <w:szCs w:val="20"/>
                <w:lang w:val="en-US"/>
              </w:rPr>
              <w:t>p to 400 MW</w:t>
            </w:r>
            <w:r>
              <w:rPr>
                <w:rFonts w:cs="Arial"/>
                <w:sz w:val="20"/>
                <w:szCs w:val="20"/>
                <w:lang w:val="en-US"/>
              </w:rPr>
              <w:t>)</w:t>
            </w:r>
            <w:r w:rsidRPr="002F79ED">
              <w:rPr>
                <w:rFonts w:cs="Arial"/>
                <w:sz w:val="20"/>
                <w:szCs w:val="20"/>
                <w:lang w:val="en-US"/>
              </w:rPr>
              <w:t xml:space="preserve"> up to 2016</w:t>
            </w:r>
          </w:p>
        </w:tc>
      </w:tr>
      <w:tr w:rsidR="00292609" w:rsidRPr="002F79ED" w14:paraId="5CB91ED2" w14:textId="77777777" w:rsidTr="004310B0">
        <w:tc>
          <w:tcPr>
            <w:cnfStyle w:val="001000000000" w:firstRow="0" w:lastRow="0" w:firstColumn="1" w:lastColumn="0" w:oddVBand="0" w:evenVBand="0" w:oddHBand="0" w:evenHBand="0" w:firstRowFirstColumn="0" w:firstRowLastColumn="0" w:lastRowFirstColumn="0" w:lastRowLastColumn="0"/>
            <w:tcW w:w="0" w:type="auto"/>
          </w:tcPr>
          <w:p w14:paraId="61F1BE82" w14:textId="77777777" w:rsidR="00292609" w:rsidRPr="002F79ED" w:rsidRDefault="00292609" w:rsidP="004310B0">
            <w:pPr>
              <w:spacing w:before="40" w:after="40"/>
              <w:jc w:val="left"/>
              <w:rPr>
                <w:rFonts w:cs="Arial"/>
                <w:sz w:val="20"/>
                <w:szCs w:val="20"/>
                <w:lang w:val="en-US"/>
              </w:rPr>
            </w:pPr>
            <w:r w:rsidRPr="002F79ED">
              <w:rPr>
                <w:rFonts w:cs="Arial"/>
                <w:sz w:val="20"/>
                <w:szCs w:val="20"/>
                <w:lang w:val="en-US"/>
              </w:rPr>
              <w:t>Daily Peaks or Hourly Demands</w:t>
            </w:r>
          </w:p>
        </w:tc>
        <w:tc>
          <w:tcPr>
            <w:tcW w:w="0" w:type="auto"/>
          </w:tcPr>
          <w:p w14:paraId="12266B1A" w14:textId="77777777" w:rsidR="00292609" w:rsidRPr="002F79ED" w:rsidRDefault="00292609" w:rsidP="004310B0">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2F79ED">
              <w:rPr>
                <w:rFonts w:cs="Arial"/>
                <w:sz w:val="20"/>
                <w:szCs w:val="20"/>
                <w:lang w:val="en-US"/>
              </w:rPr>
              <w:t>Daily peaks</w:t>
            </w:r>
          </w:p>
        </w:tc>
        <w:tc>
          <w:tcPr>
            <w:tcW w:w="0" w:type="auto"/>
          </w:tcPr>
          <w:p w14:paraId="66E7912B" w14:textId="77777777" w:rsidR="00292609" w:rsidRPr="002F79ED" w:rsidRDefault="00292609" w:rsidP="004310B0">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2F79ED">
              <w:rPr>
                <w:rFonts w:cs="Arial"/>
                <w:sz w:val="20"/>
                <w:szCs w:val="20"/>
                <w:lang w:val="en-US"/>
              </w:rPr>
              <w:t>Daily peaks</w:t>
            </w:r>
          </w:p>
        </w:tc>
      </w:tr>
      <w:tr w:rsidR="00292609" w:rsidRPr="002F79ED" w14:paraId="5ABD5DF5" w14:textId="77777777" w:rsidTr="004310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4E05653" w14:textId="77777777" w:rsidR="00292609" w:rsidRPr="002F79ED" w:rsidRDefault="00292609" w:rsidP="004310B0">
            <w:pPr>
              <w:spacing w:before="40" w:after="40"/>
              <w:jc w:val="left"/>
              <w:rPr>
                <w:rFonts w:cs="Arial"/>
                <w:sz w:val="20"/>
                <w:szCs w:val="20"/>
                <w:lang w:val="en-US"/>
              </w:rPr>
            </w:pPr>
            <w:r w:rsidRPr="002F79ED">
              <w:rPr>
                <w:rFonts w:cs="Arial"/>
                <w:sz w:val="20"/>
                <w:szCs w:val="20"/>
                <w:lang w:val="en-US"/>
              </w:rPr>
              <w:t>Resource Profile</w:t>
            </w:r>
          </w:p>
        </w:tc>
        <w:tc>
          <w:tcPr>
            <w:tcW w:w="0" w:type="auto"/>
          </w:tcPr>
          <w:p w14:paraId="6D5C878A" w14:textId="77777777" w:rsidR="00292609" w:rsidRPr="002F79ED" w:rsidRDefault="00292609" w:rsidP="004310B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2F79ED">
              <w:rPr>
                <w:rFonts w:cs="Arial"/>
                <w:sz w:val="20"/>
                <w:szCs w:val="20"/>
                <w:lang w:val="en-US"/>
              </w:rPr>
              <w:t>Daily capacity set at monthly entitlement values</w:t>
            </w:r>
          </w:p>
        </w:tc>
        <w:tc>
          <w:tcPr>
            <w:tcW w:w="0" w:type="auto"/>
          </w:tcPr>
          <w:p w14:paraId="11C8ADB9" w14:textId="77777777" w:rsidR="00292609" w:rsidRPr="002F79ED" w:rsidRDefault="00292609" w:rsidP="004310B0">
            <w:pPr>
              <w:spacing w:before="40" w:after="40"/>
              <w:jc w:val="left"/>
              <w:cnfStyle w:val="000000100000" w:firstRow="0" w:lastRow="0" w:firstColumn="0" w:lastColumn="0" w:oddVBand="0" w:evenVBand="0" w:oddHBand="1" w:evenHBand="0" w:firstRowFirstColumn="0" w:firstRowLastColumn="0" w:lastRowFirstColumn="0" w:lastRowLastColumn="0"/>
              <w:rPr>
                <w:rFonts w:cs="Arial"/>
                <w:sz w:val="20"/>
                <w:szCs w:val="20"/>
                <w:lang w:val="en-US"/>
              </w:rPr>
            </w:pPr>
            <w:r w:rsidRPr="002F79ED">
              <w:rPr>
                <w:rFonts w:cs="Arial"/>
                <w:sz w:val="20"/>
                <w:szCs w:val="20"/>
                <w:lang w:val="en-US"/>
              </w:rPr>
              <w:t>Daily capacity set at monthly expected values</w:t>
            </w:r>
          </w:p>
        </w:tc>
      </w:tr>
      <w:tr w:rsidR="00292609" w:rsidRPr="002F79ED" w14:paraId="4B20A9B4" w14:textId="77777777" w:rsidTr="004310B0">
        <w:tc>
          <w:tcPr>
            <w:cnfStyle w:val="001000000000" w:firstRow="0" w:lastRow="0" w:firstColumn="1" w:lastColumn="0" w:oddVBand="0" w:evenVBand="0" w:oddHBand="0" w:evenHBand="0" w:firstRowFirstColumn="0" w:firstRowLastColumn="0" w:lastRowFirstColumn="0" w:lastRowLastColumn="0"/>
            <w:tcW w:w="0" w:type="auto"/>
          </w:tcPr>
          <w:p w14:paraId="2DCA7259" w14:textId="77777777" w:rsidR="00292609" w:rsidRPr="002F79ED" w:rsidRDefault="00292609" w:rsidP="004310B0">
            <w:pPr>
              <w:spacing w:before="40" w:after="40"/>
              <w:jc w:val="left"/>
              <w:rPr>
                <w:rFonts w:cs="Arial"/>
                <w:sz w:val="20"/>
                <w:szCs w:val="20"/>
                <w:lang w:val="en-US"/>
              </w:rPr>
            </w:pPr>
            <w:r w:rsidRPr="002F79ED">
              <w:rPr>
                <w:rFonts w:cs="Arial"/>
                <w:sz w:val="20"/>
                <w:szCs w:val="20"/>
                <w:lang w:val="en-US"/>
              </w:rPr>
              <w:t>Role in Capacity Planning</w:t>
            </w:r>
          </w:p>
        </w:tc>
        <w:tc>
          <w:tcPr>
            <w:tcW w:w="0" w:type="auto"/>
          </w:tcPr>
          <w:p w14:paraId="4A917ADA" w14:textId="77777777" w:rsidR="00292609" w:rsidRPr="002F79ED" w:rsidRDefault="00292609" w:rsidP="004310B0">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2F79ED">
              <w:rPr>
                <w:rFonts w:cs="Arial"/>
                <w:sz w:val="20"/>
                <w:szCs w:val="20"/>
                <w:lang w:val="en-US"/>
              </w:rPr>
              <w:t>Separated from capacity planning for expected capacity gaps</w:t>
            </w:r>
          </w:p>
        </w:tc>
        <w:tc>
          <w:tcPr>
            <w:tcW w:w="0" w:type="auto"/>
          </w:tcPr>
          <w:p w14:paraId="4A22D1B7" w14:textId="77777777" w:rsidR="00292609" w:rsidRPr="002F79ED" w:rsidRDefault="00292609" w:rsidP="004310B0">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2F79ED">
              <w:rPr>
                <w:rFonts w:cs="Arial"/>
                <w:sz w:val="20"/>
                <w:szCs w:val="20"/>
                <w:lang w:val="en-US"/>
              </w:rPr>
              <w:t xml:space="preserve">Included in capacity planning for expected capacity gaps. </w:t>
            </w:r>
          </w:p>
          <w:p w14:paraId="34D42F20" w14:textId="77777777" w:rsidR="00292609" w:rsidRPr="002F79ED" w:rsidRDefault="00292609" w:rsidP="004310B0">
            <w:pPr>
              <w:spacing w:before="40" w:after="40"/>
              <w:jc w:val="left"/>
              <w:cnfStyle w:val="000000000000" w:firstRow="0" w:lastRow="0" w:firstColumn="0" w:lastColumn="0" w:oddVBand="0" w:evenVBand="0" w:oddHBand="0" w:evenHBand="0" w:firstRowFirstColumn="0" w:firstRowLastColumn="0" w:lastRowFirstColumn="0" w:lastRowLastColumn="0"/>
              <w:rPr>
                <w:rFonts w:cs="Arial"/>
                <w:sz w:val="20"/>
                <w:szCs w:val="20"/>
                <w:lang w:val="en-US"/>
              </w:rPr>
            </w:pPr>
            <w:r w:rsidRPr="002F79ED">
              <w:rPr>
                <w:rFonts w:cs="Arial"/>
                <w:sz w:val="20"/>
                <w:szCs w:val="20"/>
                <w:lang w:val="en-US"/>
              </w:rPr>
              <w:t>14% of capacity is subtracted in order to calculate the load/resource balance.</w:t>
            </w:r>
          </w:p>
        </w:tc>
      </w:tr>
    </w:tbl>
    <w:p w14:paraId="3F1B3861" w14:textId="77777777" w:rsidR="00292609" w:rsidRPr="002F79ED" w:rsidRDefault="00292609" w:rsidP="00292609"/>
    <w:p w14:paraId="5E9BB25B" w14:textId="77777777" w:rsidR="00292609" w:rsidRDefault="00292609" w:rsidP="00DE0F07">
      <w:pPr>
        <w:jc w:val="left"/>
        <w:sectPr w:rsidR="00292609" w:rsidSect="004310B0">
          <w:headerReference w:type="default" r:id="rId42"/>
          <w:footerReference w:type="default" r:id="rId43"/>
          <w:pgSz w:w="12240" w:h="15840"/>
          <w:pgMar w:top="1440" w:right="1440" w:bottom="1440" w:left="1440" w:header="708" w:footer="708" w:gutter="0"/>
          <w:lnNumType w:countBy="1"/>
          <w:cols w:space="708"/>
          <w:docGrid w:linePitch="360"/>
        </w:sectPr>
      </w:pPr>
    </w:p>
    <w:p w14:paraId="022AB8E5" w14:textId="77777777" w:rsidR="00292609" w:rsidRDefault="00292609" w:rsidP="00DE0F07">
      <w:pPr>
        <w:jc w:val="left"/>
        <w:sectPr w:rsidR="00292609" w:rsidSect="00292609">
          <w:type w:val="continuous"/>
          <w:pgSz w:w="12240" w:h="15840"/>
          <w:pgMar w:top="1440" w:right="1440" w:bottom="1440" w:left="1440" w:header="708" w:footer="708" w:gutter="0"/>
          <w:lnNumType w:countBy="1"/>
          <w:cols w:space="708"/>
          <w:docGrid w:linePitch="360"/>
        </w:sectPr>
      </w:pPr>
    </w:p>
    <w:p w14:paraId="2EB42463" w14:textId="77777777" w:rsidR="004310B0" w:rsidRDefault="004310B0" w:rsidP="00E67133">
      <w:pPr>
        <w:pStyle w:val="Heading2"/>
        <w:numPr>
          <w:ilvl w:val="0"/>
          <w:numId w:val="0"/>
        </w:numPr>
        <w:ind w:left="450"/>
      </w:pPr>
      <w:bookmarkStart w:id="161" w:name="_Toc426649369"/>
      <w:bookmarkStart w:id="162" w:name="OLE_LINK21"/>
      <w:bookmarkStart w:id="163" w:name="OLE_LINK20"/>
      <w:r>
        <w:lastRenderedPageBreak/>
        <w:t>Appendix G – glossaries &amp; acronyms</w:t>
      </w:r>
      <w:bookmarkEnd w:id="161"/>
    </w:p>
    <w:p w14:paraId="41CD3745" w14:textId="77777777" w:rsidR="004310B0" w:rsidRDefault="004310B0" w:rsidP="00292609">
      <w:pPr>
        <w:autoSpaceDE w:val="0"/>
        <w:autoSpaceDN w:val="0"/>
        <w:adjustRightInd w:val="0"/>
        <w:spacing w:line="240" w:lineRule="auto"/>
        <w:rPr>
          <w:rFonts w:eastAsia="Calibri" w:cs="Arial"/>
          <w:b/>
          <w:bCs/>
          <w:sz w:val="28"/>
          <w:szCs w:val="28"/>
        </w:rPr>
      </w:pPr>
    </w:p>
    <w:p w14:paraId="5E641D55" w14:textId="77777777" w:rsidR="00292609" w:rsidRPr="00292609" w:rsidRDefault="00292609" w:rsidP="00292609">
      <w:pPr>
        <w:autoSpaceDE w:val="0"/>
        <w:autoSpaceDN w:val="0"/>
        <w:adjustRightInd w:val="0"/>
        <w:spacing w:line="240" w:lineRule="auto"/>
        <w:rPr>
          <w:rFonts w:eastAsia="Calibri" w:cs="Arial"/>
          <w:b/>
          <w:bCs/>
          <w:sz w:val="28"/>
          <w:szCs w:val="28"/>
        </w:rPr>
      </w:pPr>
      <w:r w:rsidRPr="00292609">
        <w:rPr>
          <w:rFonts w:eastAsia="Calibri" w:cs="Arial"/>
          <w:b/>
          <w:bCs/>
          <w:sz w:val="28"/>
          <w:szCs w:val="28"/>
        </w:rPr>
        <w:t xml:space="preserve">GLOSSARY </w:t>
      </w:r>
    </w:p>
    <w:p w14:paraId="41C62C02" w14:textId="77777777" w:rsidR="00292609" w:rsidRPr="00292609" w:rsidRDefault="00292609" w:rsidP="00292609">
      <w:pPr>
        <w:autoSpaceDE w:val="0"/>
        <w:autoSpaceDN w:val="0"/>
        <w:adjustRightInd w:val="0"/>
        <w:spacing w:line="240" w:lineRule="auto"/>
        <w:rPr>
          <w:rFonts w:eastAsia="Calibri" w:cs="Arial"/>
          <w:b/>
          <w:bCs/>
        </w:rPr>
      </w:pPr>
      <w:r w:rsidRPr="00292609">
        <w:rPr>
          <w:rFonts w:eastAsia="Calibri" w:cs="Arial"/>
          <w:b/>
          <w:bCs/>
        </w:rPr>
        <w:t>Adequacy:</w:t>
      </w:r>
      <w:r w:rsidRPr="00292609">
        <w:rPr>
          <w:rFonts w:eastAsia="Calibri" w:cs="Arial"/>
          <w:bCs/>
        </w:rPr>
        <w:t xml:space="preserve"> The ability of the electric system to supply the aggregate electrical demand and energy requirements of the end-use customers at all times, taking into account scheduled and reasonably expected unscheduled outages of system elements.</w:t>
      </w:r>
      <w:r w:rsidRPr="00292609">
        <w:rPr>
          <w:rFonts w:eastAsia="Calibri" w:cs="Arial"/>
          <w:b/>
          <w:bCs/>
        </w:rPr>
        <w:t xml:space="preserve"> </w:t>
      </w:r>
    </w:p>
    <w:p w14:paraId="6A93124E" w14:textId="77777777" w:rsidR="00292609" w:rsidRPr="00292609" w:rsidRDefault="00292609" w:rsidP="00292609">
      <w:pPr>
        <w:autoSpaceDE w:val="0"/>
        <w:autoSpaceDN w:val="0"/>
        <w:adjustRightInd w:val="0"/>
        <w:spacing w:line="240" w:lineRule="auto"/>
        <w:rPr>
          <w:rFonts w:eastAsia="Calibri" w:cs="Arial"/>
          <w:bCs/>
        </w:rPr>
      </w:pPr>
      <w:r w:rsidRPr="00292609">
        <w:rPr>
          <w:rFonts w:eastAsia="Calibri" w:cs="Arial"/>
          <w:b/>
          <w:bCs/>
        </w:rPr>
        <w:t>Balancing Authority:</w:t>
      </w:r>
      <w:r w:rsidRPr="00292609">
        <w:rPr>
          <w:rFonts w:eastAsia="Calibri" w:cs="Arial"/>
          <w:bCs/>
        </w:rPr>
        <w:t xml:space="preserve"> The responsible entity that integrates resource plans ahead of time, maintains load-interchange-generation balance within a Balancing Authority Area, and supports Interconnection frequency in real time.</w:t>
      </w:r>
    </w:p>
    <w:p w14:paraId="2732226A" w14:textId="77777777" w:rsidR="00292609" w:rsidRPr="00292609" w:rsidRDefault="00292609" w:rsidP="00292609">
      <w:pPr>
        <w:autoSpaceDE w:val="0"/>
        <w:autoSpaceDN w:val="0"/>
        <w:adjustRightInd w:val="0"/>
        <w:spacing w:line="240" w:lineRule="auto"/>
        <w:rPr>
          <w:rFonts w:eastAsia="Calibri" w:cs="Arial"/>
          <w:bCs/>
        </w:rPr>
      </w:pPr>
      <w:r w:rsidRPr="00292609">
        <w:rPr>
          <w:rFonts w:eastAsia="Calibri" w:cs="Arial"/>
          <w:b/>
          <w:bCs/>
        </w:rPr>
        <w:t>Balancing Authority Area:</w:t>
      </w:r>
      <w:r w:rsidRPr="00292609">
        <w:rPr>
          <w:rFonts w:eastAsia="Calibri" w:cs="Arial"/>
          <w:bCs/>
        </w:rPr>
        <w:t xml:space="preserve"> The collection of generation, transmission, and loads within the metered boundaries of the Balancing Authority.  The Balancing Authority maintains load-resource balance within this area. </w:t>
      </w:r>
    </w:p>
    <w:p w14:paraId="495EFB73" w14:textId="77777777" w:rsidR="00292609" w:rsidRPr="00292609" w:rsidRDefault="00292609" w:rsidP="00292609">
      <w:pPr>
        <w:autoSpaceDE w:val="0"/>
        <w:autoSpaceDN w:val="0"/>
        <w:adjustRightInd w:val="0"/>
        <w:spacing w:line="240" w:lineRule="auto"/>
        <w:rPr>
          <w:rFonts w:eastAsia="Calibri" w:cs="Arial"/>
          <w:bCs/>
        </w:rPr>
      </w:pPr>
      <w:r w:rsidRPr="00292609">
        <w:rPr>
          <w:rFonts w:eastAsia="Calibri" w:cs="Arial"/>
          <w:b/>
          <w:bCs/>
        </w:rPr>
        <w:t>Canal Plant Agreement (CPA):</w:t>
      </w:r>
      <w:r w:rsidRPr="00292609">
        <w:rPr>
          <w:rFonts w:eastAsia="Calibri" w:cs="Arial"/>
          <w:bCs/>
        </w:rPr>
        <w:t xml:space="preserve"> The CPA aggregates the power production from multiple hydro generation facilities located upon the Kootenay and Pend d’Oreille Rivers, and apportions that production for the use of the owners of those hydro facilities in the form of entitlements of capacity and energy. This usage effectively eliminates the hydrological risk normally associated with individual hydroelectric generation facilities. In return for providing these CPA Entitlements, BC Hydro receives the right to dispatch plant generation to maximize the benefits to the overall Provincial system.</w:t>
      </w:r>
    </w:p>
    <w:p w14:paraId="5BE1346E" w14:textId="77777777" w:rsidR="00292609" w:rsidRPr="00292609" w:rsidRDefault="00292609" w:rsidP="00292609">
      <w:pPr>
        <w:autoSpaceDE w:val="0"/>
        <w:autoSpaceDN w:val="0"/>
        <w:adjustRightInd w:val="0"/>
        <w:spacing w:line="240" w:lineRule="auto"/>
        <w:rPr>
          <w:rFonts w:eastAsia="Calibri" w:cs="Arial"/>
          <w:b/>
          <w:bCs/>
        </w:rPr>
      </w:pPr>
      <w:r w:rsidRPr="00292609">
        <w:rPr>
          <w:rFonts w:eastAsia="Calibri" w:cs="Arial"/>
          <w:b/>
          <w:bCs/>
        </w:rPr>
        <w:t xml:space="preserve">Canal Plant Agreement Entitlement: </w:t>
      </w:r>
      <w:r w:rsidRPr="00292609">
        <w:rPr>
          <w:rFonts w:eastAsia="Calibri" w:cs="Arial"/>
          <w:bCs/>
        </w:rPr>
        <w:t>The average water year generation of the generating facilities included in the Canal Plant Agreement. Provided each unit is in-service, the related entitlements are provided by BC Hydro regardless of the actual generation dispatched by BC Hydro from the facilities.</w:t>
      </w:r>
    </w:p>
    <w:p w14:paraId="69A54F01" w14:textId="77777777" w:rsidR="00292609" w:rsidRPr="00292609" w:rsidRDefault="00292609" w:rsidP="00292609">
      <w:pPr>
        <w:autoSpaceDE w:val="0"/>
        <w:autoSpaceDN w:val="0"/>
        <w:adjustRightInd w:val="0"/>
        <w:spacing w:after="120" w:line="240" w:lineRule="auto"/>
        <w:rPr>
          <w:rFonts w:eastAsia="Calibri" w:cs="Arial"/>
          <w:b/>
          <w:bCs/>
        </w:rPr>
      </w:pPr>
      <w:r w:rsidRPr="00292609">
        <w:rPr>
          <w:rFonts w:eastAsia="Calibri" w:cs="Arial"/>
          <w:b/>
          <w:bCs/>
        </w:rPr>
        <w:t>Capacity:</w:t>
      </w:r>
    </w:p>
    <w:p w14:paraId="05D4BA8D" w14:textId="77777777" w:rsidR="00292609" w:rsidRPr="00292609" w:rsidRDefault="00292609" w:rsidP="00292609">
      <w:pPr>
        <w:autoSpaceDE w:val="0"/>
        <w:autoSpaceDN w:val="0"/>
        <w:adjustRightInd w:val="0"/>
        <w:spacing w:after="120" w:line="240" w:lineRule="auto"/>
        <w:rPr>
          <w:rFonts w:eastAsia="Calibri" w:cs="Arial"/>
          <w:bCs/>
        </w:rPr>
      </w:pPr>
      <w:r w:rsidRPr="00292609">
        <w:rPr>
          <w:rFonts w:eastAsia="Calibri" w:cs="Arial"/>
          <w:bCs/>
        </w:rPr>
        <w:t>(1) The instantaneous output of a power plant at any given time, normally measured in kilowatts (kW) or megawatts (MW).</w:t>
      </w:r>
    </w:p>
    <w:p w14:paraId="4D0556E3" w14:textId="77777777" w:rsidR="00292609" w:rsidRPr="00292609" w:rsidRDefault="00292609" w:rsidP="00292609">
      <w:pPr>
        <w:autoSpaceDE w:val="0"/>
        <w:autoSpaceDN w:val="0"/>
        <w:adjustRightInd w:val="0"/>
        <w:spacing w:after="120" w:line="240" w:lineRule="auto"/>
        <w:rPr>
          <w:rFonts w:eastAsia="Calibri" w:cs="Arial"/>
          <w:bCs/>
        </w:rPr>
      </w:pPr>
      <w:r w:rsidRPr="00292609">
        <w:rPr>
          <w:rFonts w:eastAsia="Calibri" w:cs="Arial"/>
          <w:bCs/>
        </w:rPr>
        <w:t>(2) The instantaneous system electricity demand at any given time, normally measured in kilowatts (kW) or megawatts (MW).</w:t>
      </w:r>
    </w:p>
    <w:p w14:paraId="60E32DFC" w14:textId="77777777" w:rsidR="00292609" w:rsidRPr="00292609" w:rsidRDefault="00292609" w:rsidP="00292609">
      <w:pPr>
        <w:autoSpaceDE w:val="0"/>
        <w:autoSpaceDN w:val="0"/>
        <w:adjustRightInd w:val="0"/>
        <w:spacing w:after="120" w:line="240" w:lineRule="auto"/>
        <w:rPr>
          <w:rFonts w:eastAsia="Calibri" w:cs="Arial"/>
          <w:bCs/>
        </w:rPr>
      </w:pPr>
      <w:r w:rsidRPr="00292609">
        <w:rPr>
          <w:rFonts w:eastAsia="Calibri" w:cs="Arial"/>
          <w:bCs/>
        </w:rPr>
        <w:t>(3) The amount of electrical power that can be safely transmitted by a transmission facility at any instant.</w:t>
      </w:r>
    </w:p>
    <w:p w14:paraId="06680F7E" w14:textId="77777777" w:rsidR="00292609" w:rsidRPr="00292609" w:rsidRDefault="00292609" w:rsidP="00292609">
      <w:pPr>
        <w:autoSpaceDE w:val="0"/>
        <w:autoSpaceDN w:val="0"/>
        <w:adjustRightInd w:val="0"/>
        <w:spacing w:after="120" w:line="240" w:lineRule="auto"/>
        <w:rPr>
          <w:rFonts w:eastAsia="Calibri" w:cs="Arial"/>
          <w:bCs/>
        </w:rPr>
      </w:pPr>
      <w:r w:rsidRPr="00292609">
        <w:rPr>
          <w:rFonts w:eastAsia="Calibri" w:cs="Arial"/>
          <w:bCs/>
        </w:rPr>
        <w:lastRenderedPageBreak/>
        <w:t>Related terms:</w:t>
      </w:r>
    </w:p>
    <w:p w14:paraId="6126FA50" w14:textId="77777777" w:rsidR="00292609" w:rsidRPr="00292609" w:rsidRDefault="00292609" w:rsidP="00292609">
      <w:pPr>
        <w:numPr>
          <w:ilvl w:val="0"/>
          <w:numId w:val="19"/>
        </w:numPr>
        <w:autoSpaceDE w:val="0"/>
        <w:autoSpaceDN w:val="0"/>
        <w:adjustRightInd w:val="0"/>
        <w:spacing w:after="120" w:line="240" w:lineRule="auto"/>
        <w:ind w:left="630"/>
        <w:rPr>
          <w:rFonts w:eastAsia="Calibri" w:cs="Arial"/>
          <w:bCs/>
        </w:rPr>
      </w:pPr>
      <w:r w:rsidRPr="00292609">
        <w:rPr>
          <w:rFonts w:eastAsia="Calibri" w:cs="Arial"/>
          <w:b/>
          <w:bCs/>
        </w:rPr>
        <w:t>Maximum Capacity</w:t>
      </w:r>
      <w:r w:rsidRPr="00292609">
        <w:rPr>
          <w:rFonts w:eastAsia="Calibri" w:cs="Arial"/>
          <w:bCs/>
        </w:rPr>
        <w:t xml:space="preserve"> - The highest generating plant output or transmission loading that can actually be achieved in situ.</w:t>
      </w:r>
    </w:p>
    <w:p w14:paraId="2F5DA8FA" w14:textId="77777777" w:rsidR="00292609" w:rsidRPr="00292609" w:rsidRDefault="00292609" w:rsidP="00292609">
      <w:pPr>
        <w:numPr>
          <w:ilvl w:val="0"/>
          <w:numId w:val="19"/>
        </w:numPr>
        <w:autoSpaceDE w:val="0"/>
        <w:autoSpaceDN w:val="0"/>
        <w:adjustRightInd w:val="0"/>
        <w:spacing w:after="120" w:line="240" w:lineRule="auto"/>
        <w:ind w:left="630"/>
        <w:rPr>
          <w:rFonts w:eastAsia="Calibri" w:cs="Arial"/>
          <w:bCs/>
        </w:rPr>
      </w:pPr>
      <w:r w:rsidRPr="00292609">
        <w:rPr>
          <w:rFonts w:eastAsia="Calibri" w:cs="Arial"/>
          <w:b/>
          <w:bCs/>
        </w:rPr>
        <w:t>Dependable Capacity</w:t>
      </w:r>
      <w:r w:rsidRPr="00292609">
        <w:rPr>
          <w:rFonts w:eastAsia="Calibri" w:cs="Arial"/>
          <w:bCs/>
        </w:rPr>
        <w:t xml:space="preserve"> - The amount of megawatts of generation available assuming all units are in service for three peak hours per day during the coldest two-week period each year. In BC, system peak electrical demand typically occurs in December or January sometime between the hours of 5 pm and 9 pm. Factors external to the plant affect its dependable capacity. For example, stream flow conditions can restrict the dependable capacity of hydro plants and fuel supply constraints can impact thermal plant dependable capacity. Planned and forced outage rates are not included.</w:t>
      </w:r>
    </w:p>
    <w:p w14:paraId="37285776" w14:textId="77777777" w:rsidR="00292609" w:rsidRPr="00292609" w:rsidRDefault="00292609" w:rsidP="00292609">
      <w:pPr>
        <w:numPr>
          <w:ilvl w:val="0"/>
          <w:numId w:val="19"/>
        </w:numPr>
        <w:autoSpaceDE w:val="0"/>
        <w:autoSpaceDN w:val="0"/>
        <w:adjustRightInd w:val="0"/>
        <w:spacing w:after="240" w:line="240" w:lineRule="auto"/>
        <w:ind w:left="630"/>
        <w:rPr>
          <w:rFonts w:eastAsia="Calibri" w:cs="Arial"/>
          <w:bCs/>
        </w:rPr>
      </w:pPr>
      <w:r w:rsidRPr="00292609">
        <w:rPr>
          <w:rFonts w:eastAsia="Calibri" w:cs="Arial"/>
          <w:b/>
          <w:bCs/>
        </w:rPr>
        <w:t>Installed Capacity</w:t>
      </w:r>
      <w:r w:rsidRPr="00292609">
        <w:rPr>
          <w:rFonts w:eastAsia="Calibri" w:cs="Arial"/>
          <w:bCs/>
        </w:rPr>
        <w:t xml:space="preserve"> (Also referred to as Nameplate Rating) - The maximum rating of a generator or transmission station equipment as identified by the manufacturer under specified conditions.</w:t>
      </w:r>
    </w:p>
    <w:p w14:paraId="21B01F23" w14:textId="77777777" w:rsidR="00292609" w:rsidRPr="00292609" w:rsidRDefault="00292609" w:rsidP="00292609">
      <w:pPr>
        <w:autoSpaceDE w:val="0"/>
        <w:autoSpaceDN w:val="0"/>
        <w:adjustRightInd w:val="0"/>
        <w:spacing w:line="240" w:lineRule="auto"/>
        <w:rPr>
          <w:rFonts w:eastAsia="Calibri" w:cs="Times New Roman"/>
          <w:b/>
          <w:bCs/>
        </w:rPr>
      </w:pPr>
      <w:r w:rsidRPr="00292609">
        <w:rPr>
          <w:rFonts w:eastAsia="Calibri" w:cs="Arial"/>
          <w:b/>
          <w:bCs/>
        </w:rPr>
        <w:t xml:space="preserve">Capacity Purchase: </w:t>
      </w:r>
      <w:r w:rsidRPr="00292609">
        <w:rPr>
          <w:rFonts w:eastAsia="Calibri" w:cs="Times New Roman"/>
          <w:bCs/>
        </w:rPr>
        <w:t>The purchase of capacity without energy.</w:t>
      </w:r>
    </w:p>
    <w:p w14:paraId="7CA75050" w14:textId="77777777" w:rsidR="00292609" w:rsidRPr="00292609" w:rsidRDefault="00292609" w:rsidP="00292609">
      <w:pPr>
        <w:autoSpaceDE w:val="0"/>
        <w:autoSpaceDN w:val="0"/>
        <w:adjustRightInd w:val="0"/>
        <w:spacing w:line="240" w:lineRule="auto"/>
        <w:rPr>
          <w:rFonts w:eastAsia="Calibri" w:cs="Times New Roman"/>
          <w:bCs/>
        </w:rPr>
      </w:pPr>
      <w:r w:rsidRPr="00292609">
        <w:rPr>
          <w:rFonts w:eastAsia="Calibri" w:cs="Arial"/>
          <w:b/>
          <w:bCs/>
        </w:rPr>
        <w:t xml:space="preserve">Contingency: </w:t>
      </w:r>
      <w:r w:rsidRPr="00292609">
        <w:rPr>
          <w:rFonts w:eastAsia="Calibri" w:cs="Times New Roman"/>
          <w:bCs/>
        </w:rPr>
        <w:t>The unexpected failure or outage of a system component, such as a generator, transmission line, circuit breaker, switch or other electrical element.</w:t>
      </w:r>
    </w:p>
    <w:p w14:paraId="39C0FBA8" w14:textId="77777777" w:rsidR="00292609" w:rsidRPr="00292609" w:rsidRDefault="00292609" w:rsidP="00292609">
      <w:pPr>
        <w:autoSpaceDE w:val="0"/>
        <w:autoSpaceDN w:val="0"/>
        <w:adjustRightInd w:val="0"/>
        <w:spacing w:line="240" w:lineRule="auto"/>
        <w:rPr>
          <w:rFonts w:eastAsia="Calibri" w:cs="Times New Roman"/>
          <w:bCs/>
        </w:rPr>
      </w:pPr>
      <w:r w:rsidRPr="00292609">
        <w:rPr>
          <w:rFonts w:eastAsia="Calibri" w:cs="Arial"/>
          <w:b/>
          <w:bCs/>
        </w:rPr>
        <w:t xml:space="preserve">Contingency Reserve: </w:t>
      </w:r>
      <w:r w:rsidRPr="00292609">
        <w:rPr>
          <w:rFonts w:eastAsia="Calibri" w:cs="Times New Roman"/>
          <w:bCs/>
        </w:rPr>
        <w:t>The provision of capacity deployed by the Balancing Authority to meet the Disturbance Control Standard (DCS) and other NERC and Regional Reliability Organization contingency requirements.</w:t>
      </w:r>
    </w:p>
    <w:p w14:paraId="3B8339C4" w14:textId="77777777" w:rsidR="00292609" w:rsidRPr="00292609" w:rsidRDefault="00292609" w:rsidP="00292609">
      <w:pPr>
        <w:autoSpaceDE w:val="0"/>
        <w:autoSpaceDN w:val="0"/>
        <w:adjustRightInd w:val="0"/>
        <w:spacing w:line="240" w:lineRule="auto"/>
        <w:rPr>
          <w:rFonts w:eastAsia="Calibri" w:cs="Times New Roman"/>
          <w:bCs/>
        </w:rPr>
      </w:pPr>
      <w:r w:rsidRPr="00292609">
        <w:rPr>
          <w:rFonts w:eastAsia="Calibri" w:cs="Arial"/>
          <w:b/>
          <w:bCs/>
        </w:rPr>
        <w:t>Contingency Reserve Obligation (CRO): T</w:t>
      </w:r>
      <w:r w:rsidRPr="00292609">
        <w:rPr>
          <w:rFonts w:eastAsia="Calibri" w:cs="Times New Roman"/>
          <w:bCs/>
        </w:rPr>
        <w:t>he minimum amount of Contingency Reserve that must be carried by a particular Participating Balancing Authority or by the Reserve Sharing Group as a whole (as the context requires) to respond to Qualifying Events.  A Participating Balancing Authority’s Contingency Reserve Obligation must be available for use as Internal Reserve if it experiences a Qualifying Event or to deliver as Assistance Reserve in response to a Reserve Sharing Request by another Participating Balancing Authority that has experienced a Qualifying Event.</w:t>
      </w:r>
    </w:p>
    <w:p w14:paraId="344BF6F6" w14:textId="77777777" w:rsidR="00292609" w:rsidRPr="00292609" w:rsidRDefault="00292609" w:rsidP="00292609">
      <w:pPr>
        <w:autoSpaceDE w:val="0"/>
        <w:autoSpaceDN w:val="0"/>
        <w:adjustRightInd w:val="0"/>
        <w:spacing w:line="240" w:lineRule="auto"/>
        <w:rPr>
          <w:rFonts w:eastAsia="Calibri" w:cs="Arial"/>
          <w:bCs/>
        </w:rPr>
      </w:pPr>
      <w:r w:rsidRPr="00292609">
        <w:rPr>
          <w:rFonts w:eastAsia="Calibri" w:cs="Arial"/>
          <w:b/>
          <w:bCs/>
        </w:rPr>
        <w:t xml:space="preserve">Demand: </w:t>
      </w:r>
      <w:r w:rsidRPr="00292609">
        <w:rPr>
          <w:rFonts w:eastAsia="Calibri" w:cs="Arial"/>
          <w:bCs/>
        </w:rPr>
        <w:t>1. The rate at which electric energy is delivered to or by a system or part of a system, generally expressed in kilowatts or megawatts, at a given instant or averaged over any designated interval of time. 2. The rate at which energy is being used by the customer.</w:t>
      </w:r>
    </w:p>
    <w:p w14:paraId="614DFE47" w14:textId="77777777" w:rsidR="00292609" w:rsidRPr="00292609" w:rsidRDefault="00292609" w:rsidP="00292609">
      <w:pPr>
        <w:autoSpaceDE w:val="0"/>
        <w:autoSpaceDN w:val="0"/>
        <w:adjustRightInd w:val="0"/>
        <w:spacing w:line="240" w:lineRule="auto"/>
        <w:rPr>
          <w:rFonts w:eastAsia="Calibri" w:cs="Times New Roman"/>
          <w:bCs/>
        </w:rPr>
      </w:pPr>
      <w:r w:rsidRPr="00292609">
        <w:rPr>
          <w:rFonts w:eastAsia="Calibri" w:cs="Arial"/>
          <w:b/>
          <w:bCs/>
        </w:rPr>
        <w:lastRenderedPageBreak/>
        <w:t xml:space="preserve">Demand Side Management (DSM): </w:t>
      </w:r>
      <w:r w:rsidRPr="00292609">
        <w:rPr>
          <w:rFonts w:eastAsia="Calibri" w:cs="Times New Roman"/>
          <w:bCs/>
        </w:rPr>
        <w:t>Actions that modify customer demand for electricity, helping to defer the need for new utility energy and capacity supply additions.</w:t>
      </w:r>
    </w:p>
    <w:p w14:paraId="0820CB81" w14:textId="77777777" w:rsidR="00292609" w:rsidRPr="00292609" w:rsidRDefault="00292609" w:rsidP="00292609">
      <w:pPr>
        <w:autoSpaceDE w:val="0"/>
        <w:autoSpaceDN w:val="0"/>
        <w:adjustRightInd w:val="0"/>
        <w:spacing w:line="240" w:lineRule="auto"/>
        <w:rPr>
          <w:rFonts w:eastAsia="Calibri" w:cs="Times New Roman"/>
          <w:b/>
          <w:bCs/>
        </w:rPr>
      </w:pPr>
      <w:r w:rsidRPr="00292609">
        <w:rPr>
          <w:rFonts w:eastAsia="Calibri" w:cs="Arial"/>
          <w:b/>
          <w:bCs/>
        </w:rPr>
        <w:t xml:space="preserve">Energy: </w:t>
      </w:r>
      <w:r w:rsidRPr="00292609">
        <w:rPr>
          <w:rFonts w:eastAsia="Calibri" w:cs="Times New Roman"/>
          <w:bCs/>
        </w:rPr>
        <w:t>The electricity produced or used over a period of time, usually measured in kWh, MWh or GWh.</w:t>
      </w:r>
    </w:p>
    <w:p w14:paraId="6D2BC1F1" w14:textId="77777777" w:rsidR="00292609" w:rsidRPr="00292609" w:rsidRDefault="00292609" w:rsidP="00292609">
      <w:pPr>
        <w:autoSpaceDE w:val="0"/>
        <w:autoSpaceDN w:val="0"/>
        <w:adjustRightInd w:val="0"/>
        <w:spacing w:line="240" w:lineRule="auto"/>
        <w:rPr>
          <w:rFonts w:eastAsia="Calibri" w:cs="Times New Roman"/>
          <w:b/>
          <w:bCs/>
        </w:rPr>
      </w:pPr>
      <w:r w:rsidRPr="00292609">
        <w:rPr>
          <w:rFonts w:eastAsia="Calibri" w:cs="Times New Roman"/>
          <w:b/>
          <w:bCs/>
        </w:rPr>
        <w:t xml:space="preserve">Firm Market Purchase: </w:t>
      </w:r>
      <w:r w:rsidRPr="00292609">
        <w:rPr>
          <w:rFonts w:eastAsia="Calibri" w:cs="Times New Roman"/>
          <w:bCs/>
        </w:rPr>
        <w:t>The highest degree of reliable market power that can be purchased. It can only be curtailed due to the most severe contingencies such as the loss of the transmission path. See also Long-Term Firm Resource.</w:t>
      </w:r>
    </w:p>
    <w:p w14:paraId="42BC2F97" w14:textId="77777777" w:rsidR="00292609" w:rsidRPr="00292609" w:rsidRDefault="00292609" w:rsidP="00292609">
      <w:pPr>
        <w:autoSpaceDE w:val="0"/>
        <w:autoSpaceDN w:val="0"/>
        <w:adjustRightInd w:val="0"/>
        <w:spacing w:line="240" w:lineRule="auto"/>
        <w:rPr>
          <w:rFonts w:eastAsia="Calibri" w:cs="Times New Roman"/>
          <w:bCs/>
        </w:rPr>
      </w:pPr>
      <w:r w:rsidRPr="00292609">
        <w:rPr>
          <w:rFonts w:eastAsia="Calibri" w:cs="Times New Roman"/>
          <w:b/>
          <w:bCs/>
        </w:rPr>
        <w:t xml:space="preserve">Forced Outage: </w:t>
      </w:r>
      <w:r w:rsidRPr="00292609">
        <w:rPr>
          <w:rFonts w:eastAsia="Calibri" w:cs="Times New Roman"/>
          <w:bCs/>
        </w:rPr>
        <w:t>1. The removal from service availability of a generating unit, transmission line, or other facility for emergency reasons.   2. The condition in which the equipment is unavailable due to unanticipated failure.</w:t>
      </w:r>
    </w:p>
    <w:p w14:paraId="487A8334" w14:textId="77777777" w:rsidR="00292609" w:rsidRPr="00292609" w:rsidRDefault="00292609" w:rsidP="00292609">
      <w:pPr>
        <w:autoSpaceDE w:val="0"/>
        <w:autoSpaceDN w:val="0"/>
        <w:adjustRightInd w:val="0"/>
        <w:spacing w:line="240" w:lineRule="auto"/>
        <w:rPr>
          <w:rFonts w:eastAsia="Calibri" w:cs="Times New Roman"/>
          <w:b/>
          <w:bCs/>
        </w:rPr>
      </w:pPr>
      <w:r w:rsidRPr="00292609">
        <w:rPr>
          <w:rFonts w:eastAsia="Calibri" w:cs="Times New Roman"/>
          <w:b/>
          <w:bCs/>
        </w:rPr>
        <w:t xml:space="preserve">Heavy Load Hours (HLH): </w:t>
      </w:r>
      <w:r w:rsidRPr="00292609">
        <w:rPr>
          <w:rFonts w:eastAsia="Calibri" w:cs="Times New Roman"/>
          <w:bCs/>
        </w:rPr>
        <w:t>The time of day in which peak demand occurs. Heavy Load Hours are from 0600h through 2200h, Monday to Saturday, excluding holidays.</w:t>
      </w:r>
    </w:p>
    <w:p w14:paraId="1F084972" w14:textId="77777777" w:rsidR="00292609" w:rsidRPr="00292609" w:rsidRDefault="00292609" w:rsidP="00292609">
      <w:pPr>
        <w:autoSpaceDE w:val="0"/>
        <w:autoSpaceDN w:val="0"/>
        <w:adjustRightInd w:val="0"/>
        <w:spacing w:line="240" w:lineRule="auto"/>
        <w:rPr>
          <w:rFonts w:eastAsia="Calibri" w:cs="Times New Roman"/>
          <w:b/>
          <w:bCs/>
        </w:rPr>
      </w:pPr>
      <w:r w:rsidRPr="00292609">
        <w:rPr>
          <w:rFonts w:eastAsia="Calibri" w:cs="Times New Roman"/>
          <w:b/>
          <w:bCs/>
        </w:rPr>
        <w:t xml:space="preserve">Independent Power Producer (IPP): </w:t>
      </w:r>
      <w:r w:rsidRPr="00292609">
        <w:rPr>
          <w:rFonts w:eastAsia="Calibri" w:cs="Times New Roman"/>
          <w:bCs/>
        </w:rPr>
        <w:t>A privately owned electricity generating facility that produces electricity for sale to utilities or other customers.</w:t>
      </w:r>
    </w:p>
    <w:p w14:paraId="1BF64EF1" w14:textId="77777777" w:rsidR="00292609" w:rsidRPr="00292609" w:rsidRDefault="00292609" w:rsidP="00292609">
      <w:pPr>
        <w:autoSpaceDE w:val="0"/>
        <w:autoSpaceDN w:val="0"/>
        <w:adjustRightInd w:val="0"/>
        <w:spacing w:line="240" w:lineRule="auto"/>
        <w:rPr>
          <w:rFonts w:eastAsia="Calibri" w:cs="Times New Roman"/>
          <w:b/>
          <w:bCs/>
        </w:rPr>
      </w:pPr>
      <w:r w:rsidRPr="00292609">
        <w:rPr>
          <w:rFonts w:eastAsia="Calibri" w:cs="Times New Roman"/>
          <w:b/>
          <w:bCs/>
        </w:rPr>
        <w:t xml:space="preserve">Light Load Hours (LLH): </w:t>
      </w:r>
      <w:r w:rsidRPr="00292609">
        <w:rPr>
          <w:rFonts w:eastAsia="Calibri" w:cs="Times New Roman"/>
          <w:bCs/>
        </w:rPr>
        <w:t>All hours that are not Heavy Load Hours. See Heavy Load Hours.</w:t>
      </w:r>
    </w:p>
    <w:p w14:paraId="533F33B0" w14:textId="77777777" w:rsidR="00292609" w:rsidRPr="00292609" w:rsidRDefault="00292609" w:rsidP="00292609">
      <w:pPr>
        <w:autoSpaceDE w:val="0"/>
        <w:autoSpaceDN w:val="0"/>
        <w:adjustRightInd w:val="0"/>
        <w:spacing w:line="240" w:lineRule="auto"/>
        <w:rPr>
          <w:rFonts w:eastAsia="Calibri" w:cs="Times New Roman"/>
          <w:b/>
          <w:bCs/>
        </w:rPr>
      </w:pPr>
      <w:r w:rsidRPr="00292609">
        <w:rPr>
          <w:rFonts w:eastAsia="Calibri" w:cs="Times New Roman"/>
          <w:b/>
          <w:bCs/>
        </w:rPr>
        <w:t xml:space="preserve">Load: </w:t>
      </w:r>
      <w:r w:rsidRPr="00292609">
        <w:rPr>
          <w:rFonts w:eastAsia="Calibri" w:cs="Times New Roman"/>
          <w:bCs/>
        </w:rPr>
        <w:t>The amount of electricity required by a customer or group of customers.</w:t>
      </w:r>
    </w:p>
    <w:p w14:paraId="3AAED35C" w14:textId="77777777" w:rsidR="00292609" w:rsidRPr="00292609" w:rsidRDefault="00292609" w:rsidP="00292609">
      <w:pPr>
        <w:autoSpaceDE w:val="0"/>
        <w:autoSpaceDN w:val="0"/>
        <w:adjustRightInd w:val="0"/>
        <w:spacing w:line="240" w:lineRule="auto"/>
        <w:rPr>
          <w:rFonts w:eastAsia="Calibri" w:cs="Times New Roman"/>
          <w:bCs/>
        </w:rPr>
      </w:pPr>
      <w:r w:rsidRPr="00292609">
        <w:rPr>
          <w:rFonts w:eastAsia="Calibri" w:cs="Times New Roman"/>
          <w:b/>
          <w:bCs/>
        </w:rPr>
        <w:t xml:space="preserve">Load Forecast: </w:t>
      </w:r>
      <w:r w:rsidRPr="00292609">
        <w:rPr>
          <w:rFonts w:eastAsia="Calibri" w:cs="Times New Roman"/>
          <w:bCs/>
        </w:rPr>
        <w:t xml:space="preserve">The expected load requirements that an electricity system will have to meet in the future. </w:t>
      </w:r>
    </w:p>
    <w:p w14:paraId="5FEF43E4" w14:textId="77777777" w:rsidR="00292609" w:rsidRPr="00292609" w:rsidRDefault="00292609" w:rsidP="00292609">
      <w:pPr>
        <w:autoSpaceDE w:val="0"/>
        <w:autoSpaceDN w:val="0"/>
        <w:adjustRightInd w:val="0"/>
        <w:spacing w:line="240" w:lineRule="auto"/>
        <w:rPr>
          <w:rFonts w:eastAsia="Calibri" w:cs="Times New Roman"/>
          <w:b/>
          <w:bCs/>
        </w:rPr>
      </w:pPr>
      <w:r w:rsidRPr="00292609">
        <w:rPr>
          <w:rFonts w:eastAsia="Calibri" w:cs="Times New Roman"/>
          <w:b/>
          <w:bCs/>
        </w:rPr>
        <w:t xml:space="preserve">Long-Term Firm Resource: </w:t>
      </w:r>
      <w:r w:rsidRPr="00292609">
        <w:rPr>
          <w:rFonts w:eastAsia="Calibri" w:cs="Times New Roman"/>
          <w:bCs/>
        </w:rPr>
        <w:t>A generation facility, Market Energy Block purchase or other power contract intended to meet load more than five years in advance. See also Firm Market Purchase.</w:t>
      </w:r>
    </w:p>
    <w:p w14:paraId="790C6900" w14:textId="77777777" w:rsidR="00292609" w:rsidRPr="00292609" w:rsidRDefault="00292609" w:rsidP="00292609">
      <w:pPr>
        <w:autoSpaceDE w:val="0"/>
        <w:autoSpaceDN w:val="0"/>
        <w:adjustRightInd w:val="0"/>
        <w:spacing w:line="240" w:lineRule="auto"/>
        <w:rPr>
          <w:rFonts w:eastAsia="Calibri" w:cs="Times New Roman"/>
          <w:b/>
          <w:bCs/>
        </w:rPr>
      </w:pPr>
      <w:r w:rsidRPr="00292609">
        <w:rPr>
          <w:rFonts w:eastAsia="Calibri" w:cs="Times New Roman"/>
          <w:b/>
          <w:bCs/>
        </w:rPr>
        <w:t xml:space="preserve">Market: </w:t>
      </w:r>
      <w:r w:rsidRPr="00292609">
        <w:rPr>
          <w:rFonts w:eastAsia="Calibri" w:cs="Times New Roman"/>
          <w:bCs/>
        </w:rPr>
        <w:t>The network of electricity trading options that allows the purchase of wholesale electricity.</w:t>
      </w:r>
    </w:p>
    <w:p w14:paraId="6C2529C5" w14:textId="77777777" w:rsidR="00292609" w:rsidRPr="00292609" w:rsidRDefault="00292609" w:rsidP="00292609">
      <w:pPr>
        <w:autoSpaceDE w:val="0"/>
        <w:autoSpaceDN w:val="0"/>
        <w:adjustRightInd w:val="0"/>
        <w:spacing w:line="240" w:lineRule="auto"/>
        <w:rPr>
          <w:rFonts w:eastAsia="Calibri" w:cs="Times New Roman"/>
          <w:b/>
          <w:bCs/>
        </w:rPr>
      </w:pPr>
      <w:r w:rsidRPr="00292609">
        <w:rPr>
          <w:rFonts w:eastAsia="Calibri" w:cs="Times New Roman"/>
          <w:b/>
          <w:bCs/>
        </w:rPr>
        <w:t xml:space="preserve">Medium-Term Purchase: </w:t>
      </w:r>
      <w:r w:rsidRPr="00292609">
        <w:rPr>
          <w:rFonts w:eastAsia="Calibri" w:cs="Times New Roman"/>
          <w:bCs/>
        </w:rPr>
        <w:t>Energy Block market purchases made three to five years in advance.</w:t>
      </w:r>
    </w:p>
    <w:p w14:paraId="68C065AC" w14:textId="77777777" w:rsidR="00292609" w:rsidRPr="00292609" w:rsidRDefault="00292609" w:rsidP="00292609">
      <w:pPr>
        <w:autoSpaceDE w:val="0"/>
        <w:autoSpaceDN w:val="0"/>
        <w:adjustRightInd w:val="0"/>
        <w:spacing w:line="240" w:lineRule="auto"/>
        <w:rPr>
          <w:rFonts w:eastAsia="Calibri" w:cs="Times New Roman"/>
          <w:bCs/>
        </w:rPr>
      </w:pPr>
      <w:r w:rsidRPr="00292609">
        <w:rPr>
          <w:rFonts w:eastAsia="Calibri" w:cs="Times New Roman"/>
          <w:b/>
          <w:bCs/>
        </w:rPr>
        <w:t xml:space="preserve">Non-spinning Reserve:  </w:t>
      </w:r>
      <w:r w:rsidRPr="00292609">
        <w:rPr>
          <w:rFonts w:eastAsia="Calibri" w:cs="Times New Roman"/>
        </w:rPr>
        <w:t xml:space="preserve"> </w:t>
      </w:r>
      <w:r w:rsidRPr="00292609">
        <w:rPr>
          <w:rFonts w:eastAsia="Calibri" w:cs="Times New Roman"/>
          <w:bCs/>
        </w:rPr>
        <w:t>1. Generating reserve that is not connected to the system but capable of serving demand within a specified time. 2. Interruptible load that can be removed from the system in a specified time.</w:t>
      </w:r>
    </w:p>
    <w:p w14:paraId="3809621C" w14:textId="77777777" w:rsidR="00292609" w:rsidRPr="00292609" w:rsidRDefault="00292609" w:rsidP="00292609">
      <w:pPr>
        <w:autoSpaceDE w:val="0"/>
        <w:autoSpaceDN w:val="0"/>
        <w:adjustRightInd w:val="0"/>
        <w:spacing w:line="240" w:lineRule="auto"/>
        <w:rPr>
          <w:rFonts w:eastAsia="Calibri" w:cs="Times New Roman"/>
          <w:b/>
          <w:bCs/>
        </w:rPr>
      </w:pPr>
      <w:r w:rsidRPr="00292609">
        <w:rPr>
          <w:rFonts w:eastAsia="Calibri" w:cs="Times New Roman"/>
          <w:b/>
          <w:bCs/>
        </w:rPr>
        <w:lastRenderedPageBreak/>
        <w:t xml:space="preserve">Off-Peak: </w:t>
      </w:r>
      <w:r w:rsidRPr="00292609">
        <w:rPr>
          <w:rFonts w:eastAsia="Calibri" w:cs="Times New Roman"/>
          <w:bCs/>
        </w:rPr>
        <w:t>See Light Load Hours.</w:t>
      </w:r>
    </w:p>
    <w:p w14:paraId="5B0591DB" w14:textId="6C5CF6B4" w:rsidR="00292609" w:rsidRPr="00292609" w:rsidRDefault="00292609" w:rsidP="00292609">
      <w:pPr>
        <w:autoSpaceDE w:val="0"/>
        <w:autoSpaceDN w:val="0"/>
        <w:adjustRightInd w:val="0"/>
        <w:spacing w:line="240" w:lineRule="auto"/>
        <w:rPr>
          <w:rFonts w:eastAsia="Calibri" w:cs="Times New Roman"/>
          <w:bCs/>
        </w:rPr>
      </w:pPr>
      <w:r w:rsidRPr="00292609">
        <w:rPr>
          <w:rFonts w:eastAsia="Calibri" w:cs="Times New Roman"/>
          <w:b/>
          <w:bCs/>
        </w:rPr>
        <w:t xml:space="preserve">Operating Reserve (OR):  </w:t>
      </w:r>
      <w:r w:rsidRPr="00292609">
        <w:rPr>
          <w:rFonts w:eastAsia="Calibri" w:cs="Times New Roman"/>
          <w:bCs/>
        </w:rPr>
        <w:t>The operating reserve is the generating capacity available to the</w:t>
      </w:r>
      <w:r w:rsidR="00FD17CB">
        <w:rPr>
          <w:rFonts w:eastAsia="Calibri" w:cs="Times New Roman"/>
          <w:bCs/>
        </w:rPr>
        <w:t xml:space="preserve"> system operator</w:t>
      </w:r>
      <w:r w:rsidRPr="00292609">
        <w:rPr>
          <w:rFonts w:eastAsia="Calibri" w:cs="Times New Roman"/>
          <w:bCs/>
        </w:rPr>
        <w:t xml:space="preserve"> within a short interval of time to meet demand in case a </w:t>
      </w:r>
      <w:r w:rsidR="00FD17CB">
        <w:rPr>
          <w:rFonts w:eastAsia="Calibri" w:cs="Times New Roman"/>
          <w:bCs/>
        </w:rPr>
        <w:t xml:space="preserve">generator </w:t>
      </w:r>
      <w:r w:rsidRPr="00292609">
        <w:rPr>
          <w:rFonts w:eastAsia="Calibri" w:cs="Times New Roman"/>
          <w:bCs/>
        </w:rPr>
        <w:t>is lost or there is another disruption to the supply.  The operating reserve can be divided into two kinds of reserve power: the spinning reserve and the non-spinning or supplemental reserve. Generators that intend to provide either spinning or non-spinning reserve should be able to reach their promised capacity within ten or so minutes.</w:t>
      </w:r>
    </w:p>
    <w:p w14:paraId="7FB9558C" w14:textId="77777777" w:rsidR="00292609" w:rsidRPr="00292609" w:rsidRDefault="00292609" w:rsidP="00292609">
      <w:pPr>
        <w:autoSpaceDE w:val="0"/>
        <w:autoSpaceDN w:val="0"/>
        <w:adjustRightInd w:val="0"/>
        <w:spacing w:line="240" w:lineRule="auto"/>
        <w:rPr>
          <w:rFonts w:eastAsia="Calibri" w:cs="Times New Roman"/>
          <w:bCs/>
        </w:rPr>
      </w:pPr>
      <w:r w:rsidRPr="00292609">
        <w:rPr>
          <w:rFonts w:eastAsia="Calibri" w:cs="Times New Roman"/>
          <w:b/>
          <w:bCs/>
        </w:rPr>
        <w:t xml:space="preserve">Peak Demand: </w:t>
      </w:r>
      <w:r w:rsidRPr="00292609">
        <w:rPr>
          <w:rFonts w:eastAsia="Calibri" w:cs="Times New Roman"/>
          <w:bCs/>
        </w:rPr>
        <w:t>1. The highest hourly integrated Net Energy For Load within a Balancing Authority Area occurring within a given period (e.g., day, month, season, or year).   2. The highest instantaneous demand within the Balancing Authority Area.</w:t>
      </w:r>
    </w:p>
    <w:p w14:paraId="0413D7A5" w14:textId="77777777" w:rsidR="00292609" w:rsidRPr="00292609" w:rsidRDefault="00292609" w:rsidP="00292609">
      <w:pPr>
        <w:autoSpaceDE w:val="0"/>
        <w:autoSpaceDN w:val="0"/>
        <w:adjustRightInd w:val="0"/>
        <w:spacing w:line="240" w:lineRule="auto"/>
        <w:rPr>
          <w:rFonts w:eastAsia="Calibri" w:cs="Times New Roman"/>
          <w:b/>
          <w:bCs/>
        </w:rPr>
      </w:pPr>
      <w:r w:rsidRPr="00292609">
        <w:rPr>
          <w:rFonts w:eastAsia="Calibri" w:cs="Times New Roman"/>
          <w:b/>
          <w:bCs/>
        </w:rPr>
        <w:t xml:space="preserve">Peaking Plant: </w:t>
      </w:r>
      <w:r w:rsidRPr="00292609">
        <w:rPr>
          <w:rFonts w:eastAsia="Calibri" w:cs="Times New Roman"/>
          <w:bCs/>
        </w:rPr>
        <w:t xml:space="preserve">A generation plant that typically only runs at times of peak demand. </w:t>
      </w:r>
    </w:p>
    <w:p w14:paraId="08448B1E" w14:textId="77777777" w:rsidR="00292609" w:rsidRPr="00292609" w:rsidRDefault="00292609" w:rsidP="00292609">
      <w:pPr>
        <w:autoSpaceDE w:val="0"/>
        <w:autoSpaceDN w:val="0"/>
        <w:adjustRightInd w:val="0"/>
        <w:spacing w:line="240" w:lineRule="auto"/>
        <w:rPr>
          <w:rFonts w:eastAsia="Calibri" w:cs="Times New Roman"/>
          <w:b/>
          <w:bCs/>
        </w:rPr>
      </w:pPr>
      <w:r w:rsidRPr="00292609">
        <w:rPr>
          <w:rFonts w:eastAsia="Calibri" w:cs="Times New Roman"/>
          <w:b/>
          <w:bCs/>
        </w:rPr>
        <w:t xml:space="preserve">Peaking Purchase: </w:t>
      </w:r>
      <w:r w:rsidRPr="00292609">
        <w:rPr>
          <w:rFonts w:eastAsia="Calibri" w:cs="Times New Roman"/>
          <w:bCs/>
        </w:rPr>
        <w:t>The purchase of energy that is required to meet load due to system capacity constraints during peak load days.</w:t>
      </w:r>
      <w:r w:rsidRPr="00292609">
        <w:rPr>
          <w:rFonts w:eastAsia="Calibri" w:cs="Times New Roman"/>
          <w:b/>
          <w:bCs/>
        </w:rPr>
        <w:t xml:space="preserve"> </w:t>
      </w:r>
    </w:p>
    <w:p w14:paraId="4899BDE3" w14:textId="77777777" w:rsidR="00292609" w:rsidRPr="00292609" w:rsidRDefault="00292609" w:rsidP="00292609">
      <w:pPr>
        <w:autoSpaceDE w:val="0"/>
        <w:autoSpaceDN w:val="0"/>
        <w:adjustRightInd w:val="0"/>
        <w:spacing w:line="240" w:lineRule="auto"/>
        <w:rPr>
          <w:rFonts w:eastAsia="Calibri" w:cs="Times New Roman"/>
          <w:b/>
          <w:bCs/>
        </w:rPr>
      </w:pPr>
      <w:r w:rsidRPr="00292609">
        <w:rPr>
          <w:rFonts w:eastAsia="Calibri" w:cs="Times New Roman"/>
          <w:b/>
          <w:bCs/>
        </w:rPr>
        <w:t xml:space="preserve">Planning Reserve Margin (PRM): </w:t>
      </w:r>
      <w:r w:rsidRPr="00292609">
        <w:rPr>
          <w:rFonts w:eastAsia="Calibri" w:cs="Times New Roman"/>
          <w:bCs/>
        </w:rPr>
        <w:t xml:space="preserve">Planning margin is the difference between the electricity supply capacity available and the capacity required to serve the load over a planning period. Intended to protect against a 1 day in 10 year loss of load possibility, the planning margin typically is between 10–30 per cent over forecast load requirements, dependent upon the type and size of generation resources employed. </w:t>
      </w:r>
    </w:p>
    <w:p w14:paraId="4D168BF3" w14:textId="77777777" w:rsidR="00292609" w:rsidRPr="00292609" w:rsidRDefault="00292609" w:rsidP="00292609">
      <w:pPr>
        <w:autoSpaceDE w:val="0"/>
        <w:autoSpaceDN w:val="0"/>
        <w:adjustRightInd w:val="0"/>
        <w:spacing w:line="240" w:lineRule="auto"/>
        <w:rPr>
          <w:rFonts w:eastAsia="Calibri" w:cs="Times New Roman"/>
          <w:b/>
          <w:bCs/>
        </w:rPr>
      </w:pPr>
      <w:r w:rsidRPr="00292609">
        <w:rPr>
          <w:rFonts w:eastAsia="Calibri" w:cs="Times New Roman"/>
          <w:b/>
          <w:bCs/>
        </w:rPr>
        <w:t xml:space="preserve">Power: </w:t>
      </w:r>
      <w:r w:rsidRPr="00292609">
        <w:rPr>
          <w:rFonts w:eastAsia="Calibri" w:cs="Times New Roman"/>
          <w:bCs/>
        </w:rPr>
        <w:t>The instantaneous rate at which electrical energy is produced, transmitted or consumed, typically measured in watts (W), kilowatts (kW), or megawatts (MW). See also Capacity.</w:t>
      </w:r>
    </w:p>
    <w:p w14:paraId="7503C4FD" w14:textId="77777777" w:rsidR="00292609" w:rsidRPr="00292609" w:rsidRDefault="00292609" w:rsidP="00292609">
      <w:pPr>
        <w:autoSpaceDE w:val="0"/>
        <w:autoSpaceDN w:val="0"/>
        <w:adjustRightInd w:val="0"/>
        <w:spacing w:line="240" w:lineRule="auto"/>
        <w:rPr>
          <w:rFonts w:eastAsia="Calibri" w:cs="Times New Roman"/>
          <w:bCs/>
        </w:rPr>
      </w:pPr>
      <w:r w:rsidRPr="00292609">
        <w:rPr>
          <w:rFonts w:eastAsia="Calibri" w:cs="Times New Roman"/>
          <w:b/>
          <w:bCs/>
        </w:rPr>
        <w:t xml:space="preserve">Regulating Reserve: </w:t>
      </w:r>
      <w:r w:rsidRPr="00292609">
        <w:rPr>
          <w:rFonts w:eastAsia="Calibri" w:cs="Times New Roman"/>
          <w:bCs/>
        </w:rPr>
        <w:t>An amount of reserve responsive to Automatic Generation Control, which is sufficient to provide normal regulating margin.</w:t>
      </w:r>
    </w:p>
    <w:p w14:paraId="2CA90457" w14:textId="77777777" w:rsidR="00292609" w:rsidRPr="00292609" w:rsidRDefault="00292609" w:rsidP="00292609">
      <w:pPr>
        <w:autoSpaceDE w:val="0"/>
        <w:autoSpaceDN w:val="0"/>
        <w:adjustRightInd w:val="0"/>
        <w:spacing w:line="240" w:lineRule="auto"/>
        <w:rPr>
          <w:rFonts w:eastAsia="Calibri" w:cs="Times New Roman"/>
          <w:bCs/>
        </w:rPr>
      </w:pPr>
      <w:r w:rsidRPr="00292609">
        <w:rPr>
          <w:rFonts w:eastAsia="Calibri" w:cs="Times New Roman"/>
          <w:b/>
          <w:bCs/>
        </w:rPr>
        <w:t xml:space="preserve">Reliability: </w:t>
      </w:r>
      <w:r w:rsidRPr="00292609">
        <w:rPr>
          <w:rFonts w:eastAsia="Calibri" w:cs="Times New Roman"/>
          <w:bCs/>
        </w:rPr>
        <w:t>A measure of the adequacy and security of electric service. Adequacy refers to the existence of sufficient facilities in the system to satisfy the load demand and system operational constraints. Security refers to the system’s ability to respond to transient disturbances in the system.</w:t>
      </w:r>
    </w:p>
    <w:p w14:paraId="6B183CC5" w14:textId="77777777" w:rsidR="00292609" w:rsidRPr="00292609" w:rsidRDefault="00292609" w:rsidP="00292609">
      <w:pPr>
        <w:autoSpaceDE w:val="0"/>
        <w:autoSpaceDN w:val="0"/>
        <w:adjustRightInd w:val="0"/>
        <w:spacing w:line="240" w:lineRule="auto"/>
        <w:rPr>
          <w:rFonts w:eastAsia="Calibri" w:cs="Times New Roman"/>
          <w:bCs/>
        </w:rPr>
      </w:pPr>
      <w:r w:rsidRPr="00292609">
        <w:rPr>
          <w:rFonts w:eastAsia="Calibri" w:cs="Times New Roman"/>
          <w:b/>
          <w:bCs/>
        </w:rPr>
        <w:lastRenderedPageBreak/>
        <w:t xml:space="preserve">Reserve Sharing Group: </w:t>
      </w:r>
      <w:r w:rsidRPr="00292609">
        <w:rPr>
          <w:rFonts w:eastAsia="Calibri" w:cs="Times New Roman"/>
          <w:bCs/>
        </w:rPr>
        <w:t>A group whose members consist of two or more Balancing Authorities that collectively maintain, allocate, and supply operating reserves required for each Balancing Authority’s use in recovering from contingencies within the group.</w:t>
      </w:r>
    </w:p>
    <w:p w14:paraId="1BE03021" w14:textId="77777777" w:rsidR="00292609" w:rsidRPr="00292609" w:rsidRDefault="00292609" w:rsidP="00292609">
      <w:pPr>
        <w:autoSpaceDE w:val="0"/>
        <w:autoSpaceDN w:val="0"/>
        <w:adjustRightInd w:val="0"/>
        <w:spacing w:line="240" w:lineRule="auto"/>
        <w:rPr>
          <w:rFonts w:eastAsia="Calibri" w:cs="Times New Roman"/>
          <w:bCs/>
        </w:rPr>
      </w:pPr>
      <w:r w:rsidRPr="00292609">
        <w:rPr>
          <w:rFonts w:eastAsia="Calibri" w:cs="Times New Roman"/>
          <w:b/>
          <w:bCs/>
        </w:rPr>
        <w:t xml:space="preserve">Resource: </w:t>
      </w:r>
      <w:r w:rsidRPr="00292609">
        <w:rPr>
          <w:rFonts w:eastAsia="Calibri" w:cs="Times New Roman"/>
          <w:bCs/>
        </w:rPr>
        <w:t>A source of electricity that is available to help meet or reduce electricity demand, including generation, purchases, demand-side management and transmission facilities.</w:t>
      </w:r>
    </w:p>
    <w:p w14:paraId="02A31E76" w14:textId="77777777" w:rsidR="00292609" w:rsidRPr="00292609" w:rsidRDefault="00292609" w:rsidP="00292609">
      <w:pPr>
        <w:autoSpaceDE w:val="0"/>
        <w:autoSpaceDN w:val="0"/>
        <w:adjustRightInd w:val="0"/>
        <w:spacing w:line="240" w:lineRule="auto"/>
        <w:rPr>
          <w:rFonts w:eastAsia="Calibri" w:cs="Times New Roman"/>
          <w:bCs/>
        </w:rPr>
      </w:pPr>
      <w:r w:rsidRPr="00292609">
        <w:rPr>
          <w:rFonts w:eastAsia="Calibri" w:cs="Times New Roman"/>
          <w:b/>
          <w:bCs/>
        </w:rPr>
        <w:t xml:space="preserve">Resource Adequacy: </w:t>
      </w:r>
      <w:r w:rsidRPr="00292609">
        <w:rPr>
          <w:rFonts w:eastAsia="Calibri" w:cs="Times New Roman"/>
          <w:bCs/>
        </w:rPr>
        <w:t>The ability of supply-side and demand-side resources to meet the aggregate electrical demand (including losses).</w:t>
      </w:r>
    </w:p>
    <w:p w14:paraId="46D43862" w14:textId="77777777" w:rsidR="00292609" w:rsidRPr="00292609" w:rsidRDefault="00292609" w:rsidP="00292609">
      <w:pPr>
        <w:autoSpaceDE w:val="0"/>
        <w:autoSpaceDN w:val="0"/>
        <w:adjustRightInd w:val="0"/>
        <w:spacing w:line="240" w:lineRule="auto"/>
        <w:rPr>
          <w:rFonts w:eastAsia="Calibri" w:cs="Times New Roman"/>
          <w:b/>
          <w:bCs/>
        </w:rPr>
      </w:pPr>
      <w:r w:rsidRPr="00292609">
        <w:rPr>
          <w:rFonts w:eastAsia="Calibri" w:cs="Times New Roman"/>
          <w:b/>
          <w:bCs/>
        </w:rPr>
        <w:t xml:space="preserve">Short-Term Purchase: </w:t>
      </w:r>
      <w:r w:rsidRPr="00292609">
        <w:rPr>
          <w:rFonts w:eastAsia="Calibri" w:cs="Times New Roman"/>
          <w:bCs/>
        </w:rPr>
        <w:t>Energy Block market purchases made several months, up to a year, in advance.</w:t>
      </w:r>
    </w:p>
    <w:p w14:paraId="5683E530" w14:textId="77777777" w:rsidR="00292609" w:rsidRPr="00292609" w:rsidRDefault="00292609" w:rsidP="00292609">
      <w:pPr>
        <w:autoSpaceDE w:val="0"/>
        <w:autoSpaceDN w:val="0"/>
        <w:adjustRightInd w:val="0"/>
        <w:spacing w:line="240" w:lineRule="auto"/>
        <w:rPr>
          <w:rFonts w:eastAsia="Calibri" w:cs="Times New Roman"/>
          <w:b/>
          <w:bCs/>
        </w:rPr>
      </w:pPr>
      <w:r w:rsidRPr="00292609">
        <w:rPr>
          <w:rFonts w:eastAsia="Calibri" w:cs="Times New Roman"/>
          <w:b/>
          <w:bCs/>
        </w:rPr>
        <w:t xml:space="preserve">Spinning Reserve:  </w:t>
      </w:r>
      <w:r w:rsidRPr="00292609">
        <w:rPr>
          <w:rFonts w:eastAsia="Calibri" w:cs="Times New Roman"/>
          <w:bCs/>
        </w:rPr>
        <w:t>Unloaded generation which is synchronized and ready to serve additional demand. It consists of Regulating reserve and Contingency reserve.</w:t>
      </w:r>
    </w:p>
    <w:p w14:paraId="1CFC4E43" w14:textId="77777777" w:rsidR="00292609" w:rsidRPr="00292609" w:rsidRDefault="00292609" w:rsidP="00292609">
      <w:pPr>
        <w:autoSpaceDE w:val="0"/>
        <w:autoSpaceDN w:val="0"/>
        <w:adjustRightInd w:val="0"/>
        <w:spacing w:line="240" w:lineRule="auto"/>
        <w:rPr>
          <w:rFonts w:eastAsia="Calibri" w:cs="Times New Roman"/>
          <w:b/>
          <w:bCs/>
        </w:rPr>
      </w:pPr>
      <w:r w:rsidRPr="00292609">
        <w:rPr>
          <w:rFonts w:eastAsia="Calibri" w:cs="Times New Roman"/>
          <w:b/>
          <w:bCs/>
        </w:rPr>
        <w:t xml:space="preserve">Spot Market: </w:t>
      </w:r>
      <w:r w:rsidRPr="00292609">
        <w:rPr>
          <w:rFonts w:eastAsia="Calibri" w:cs="Times New Roman"/>
          <w:bCs/>
        </w:rPr>
        <w:t>Real-time (hourly) and day-ahead market purchases and sales of electricity.</w:t>
      </w:r>
    </w:p>
    <w:p w14:paraId="1653226E" w14:textId="77777777" w:rsidR="00292609" w:rsidRPr="00292609" w:rsidRDefault="00292609" w:rsidP="00292609">
      <w:pPr>
        <w:autoSpaceDE w:val="0"/>
        <w:autoSpaceDN w:val="0"/>
        <w:adjustRightInd w:val="0"/>
        <w:spacing w:line="240" w:lineRule="auto"/>
        <w:rPr>
          <w:rFonts w:eastAsia="Calibri" w:cs="Times New Roman"/>
          <w:b/>
          <w:bCs/>
        </w:rPr>
      </w:pPr>
      <w:r w:rsidRPr="00292609">
        <w:rPr>
          <w:rFonts w:eastAsia="Calibri" w:cs="Times New Roman"/>
          <w:b/>
          <w:bCs/>
        </w:rPr>
        <w:t xml:space="preserve">Upgrade: </w:t>
      </w:r>
      <w:r w:rsidRPr="00292609">
        <w:rPr>
          <w:rFonts w:eastAsia="Calibri" w:cs="Times New Roman"/>
          <w:bCs/>
        </w:rPr>
        <w:t>An improvement to an existing facility, which generally results in an increased performance of the integrated system.</w:t>
      </w:r>
    </w:p>
    <w:p w14:paraId="0E5C9162" w14:textId="77777777" w:rsidR="00292609" w:rsidRPr="00292609" w:rsidRDefault="00292609" w:rsidP="00292609">
      <w:pPr>
        <w:autoSpaceDE w:val="0"/>
        <w:autoSpaceDN w:val="0"/>
        <w:adjustRightInd w:val="0"/>
        <w:spacing w:line="240" w:lineRule="auto"/>
        <w:rPr>
          <w:rFonts w:eastAsia="Calibri" w:cs="Times New Roman"/>
        </w:rPr>
      </w:pPr>
      <w:r w:rsidRPr="00292609">
        <w:rPr>
          <w:rFonts w:eastAsia="Calibri" w:cs="Times New Roman"/>
          <w:b/>
          <w:bCs/>
        </w:rPr>
        <w:t>WAX CAPA:</w:t>
      </w:r>
      <w:r w:rsidRPr="00292609">
        <w:rPr>
          <w:rFonts w:eastAsia="Calibri" w:cs="Times New Roman"/>
          <w:bCs/>
        </w:rPr>
        <w:t xml:space="preserve">  The Waneta Expansion Capacity Purchase Agreement, a 40 year capacity purchase agreement with the Waneta Expansion Power Corporation to purchase all unused WAX-related capacity that remains after BC Hydro has acquired the energy entitlements associated with the plant (as defined by the CPA). The capacity entitlements obtained by FortisBC under WAX CAPA begin in 2015 and vary by month.</w:t>
      </w:r>
      <w:bookmarkEnd w:id="162"/>
      <w:bookmarkEnd w:id="163"/>
    </w:p>
    <w:p w14:paraId="104211A7" w14:textId="77777777" w:rsidR="00292609" w:rsidRPr="00292609" w:rsidRDefault="00292609" w:rsidP="00292609">
      <w:pPr>
        <w:jc w:val="left"/>
        <w:rPr>
          <w:rFonts w:eastAsia="Calibri" w:cs="Times New Roman"/>
        </w:rPr>
      </w:pPr>
      <w:r w:rsidRPr="00292609">
        <w:rPr>
          <w:rFonts w:eastAsia="Calibri" w:cs="Times New Roman"/>
        </w:rPr>
        <w:br w:type="page"/>
      </w:r>
    </w:p>
    <w:p w14:paraId="51ABFE39" w14:textId="77777777" w:rsidR="00292609" w:rsidRPr="00292609" w:rsidRDefault="00292609" w:rsidP="00292609">
      <w:pPr>
        <w:autoSpaceDE w:val="0"/>
        <w:autoSpaceDN w:val="0"/>
        <w:adjustRightInd w:val="0"/>
        <w:spacing w:line="240" w:lineRule="auto"/>
        <w:rPr>
          <w:rFonts w:eastAsia="Calibri" w:cs="Arial"/>
          <w:b/>
          <w:bCs/>
          <w:sz w:val="28"/>
          <w:szCs w:val="28"/>
        </w:rPr>
      </w:pPr>
      <w:r w:rsidRPr="00292609">
        <w:rPr>
          <w:rFonts w:eastAsia="Calibri" w:cs="Arial"/>
          <w:b/>
          <w:bCs/>
          <w:sz w:val="28"/>
          <w:szCs w:val="28"/>
        </w:rPr>
        <w:lastRenderedPageBreak/>
        <w:t>ACRONYMS</w:t>
      </w:r>
    </w:p>
    <w:p w14:paraId="39C5C040" w14:textId="77777777" w:rsidR="00292609" w:rsidRPr="00292609" w:rsidRDefault="00292609" w:rsidP="00292609">
      <w:pPr>
        <w:rPr>
          <w:rFonts w:eastAsia="Calibri" w:cs="Arial"/>
          <w:bCs/>
        </w:rPr>
      </w:pPr>
      <w:r w:rsidRPr="00292609">
        <w:rPr>
          <w:rFonts w:eastAsia="Calibri" w:cs="Arial"/>
          <w:b/>
          <w:bCs/>
        </w:rPr>
        <w:t>BCH:</w:t>
      </w:r>
      <w:r w:rsidRPr="00292609">
        <w:rPr>
          <w:rFonts w:eastAsia="Calibri" w:cs="Arial"/>
          <w:b/>
          <w:bCs/>
        </w:rPr>
        <w:tab/>
      </w:r>
      <w:r w:rsidRPr="00292609">
        <w:rPr>
          <w:rFonts w:eastAsia="Calibri" w:cs="Arial"/>
          <w:bCs/>
        </w:rPr>
        <w:t>BC Hydro</w:t>
      </w:r>
    </w:p>
    <w:p w14:paraId="726D25C6" w14:textId="77777777" w:rsidR="00292609" w:rsidRPr="00292609" w:rsidRDefault="00292609" w:rsidP="00292609">
      <w:pPr>
        <w:rPr>
          <w:rFonts w:eastAsia="Calibri" w:cs="Arial"/>
          <w:bCs/>
        </w:rPr>
      </w:pPr>
      <w:r w:rsidRPr="00292609">
        <w:rPr>
          <w:rFonts w:eastAsia="Calibri" w:cs="Arial"/>
          <w:b/>
          <w:bCs/>
        </w:rPr>
        <w:t>BRD</w:t>
      </w:r>
      <w:r w:rsidRPr="00292609">
        <w:rPr>
          <w:rFonts w:eastAsia="Calibri" w:cs="Arial"/>
          <w:bCs/>
        </w:rPr>
        <w:t>:</w:t>
      </w:r>
      <w:r w:rsidRPr="00292609">
        <w:rPr>
          <w:rFonts w:eastAsia="Calibri" w:cs="Arial"/>
          <w:bCs/>
        </w:rPr>
        <w:tab/>
        <w:t>Brilliant Plants</w:t>
      </w:r>
    </w:p>
    <w:p w14:paraId="604F048E" w14:textId="77777777" w:rsidR="00292609" w:rsidRPr="00292609" w:rsidRDefault="00292609" w:rsidP="00292609">
      <w:pPr>
        <w:rPr>
          <w:rFonts w:eastAsia="Calibri" w:cs="Arial"/>
          <w:b/>
          <w:bCs/>
        </w:rPr>
      </w:pPr>
      <w:r w:rsidRPr="00292609">
        <w:rPr>
          <w:rFonts w:eastAsia="Calibri" w:cs="Times New Roman"/>
          <w:b/>
          <w:lang w:val="en-US"/>
        </w:rPr>
        <w:t>BPC</w:t>
      </w:r>
      <w:r w:rsidRPr="00292609">
        <w:rPr>
          <w:rFonts w:eastAsia="Calibri" w:cs="Times New Roman"/>
          <w:lang w:val="en-US"/>
        </w:rPr>
        <w:t>:</w:t>
      </w:r>
      <w:r w:rsidRPr="00292609">
        <w:rPr>
          <w:rFonts w:eastAsia="Calibri" w:cs="Times New Roman"/>
          <w:lang w:val="en-US"/>
        </w:rPr>
        <w:tab/>
        <w:t>Brilliant Power Corporation</w:t>
      </w:r>
    </w:p>
    <w:p w14:paraId="526E9D84" w14:textId="77777777" w:rsidR="00292609" w:rsidRPr="00292609" w:rsidRDefault="00292609" w:rsidP="00292609">
      <w:pPr>
        <w:rPr>
          <w:rFonts w:eastAsia="Calibri" w:cs="Arial"/>
          <w:bCs/>
        </w:rPr>
      </w:pPr>
      <w:r w:rsidRPr="00292609">
        <w:rPr>
          <w:rFonts w:eastAsia="Calibri" w:cs="Arial"/>
          <w:b/>
          <w:bCs/>
        </w:rPr>
        <w:t>CPA:</w:t>
      </w:r>
      <w:r w:rsidRPr="00292609">
        <w:rPr>
          <w:rFonts w:eastAsia="Calibri" w:cs="Arial"/>
          <w:bCs/>
        </w:rPr>
        <w:t xml:space="preserve"> </w:t>
      </w:r>
      <w:r w:rsidRPr="00292609">
        <w:rPr>
          <w:rFonts w:eastAsia="Calibri" w:cs="Arial"/>
          <w:bCs/>
        </w:rPr>
        <w:tab/>
        <w:t>Canal Plant Agreement</w:t>
      </w:r>
    </w:p>
    <w:p w14:paraId="789DBA4D" w14:textId="77777777" w:rsidR="00292609" w:rsidRPr="00292609" w:rsidRDefault="00292609" w:rsidP="00292609">
      <w:pPr>
        <w:rPr>
          <w:rFonts w:eastAsia="Calibri" w:cs="Times New Roman"/>
        </w:rPr>
      </w:pPr>
      <w:r w:rsidRPr="00292609">
        <w:rPr>
          <w:rFonts w:eastAsia="Calibri" w:cs="Times New Roman"/>
          <w:b/>
        </w:rPr>
        <w:t>CRO</w:t>
      </w:r>
      <w:r w:rsidRPr="00292609">
        <w:rPr>
          <w:rFonts w:eastAsia="Calibri" w:cs="Times New Roman"/>
        </w:rPr>
        <w:t>:</w:t>
      </w:r>
      <w:r w:rsidRPr="00292609">
        <w:rPr>
          <w:rFonts w:eastAsia="Calibri" w:cs="Times New Roman"/>
        </w:rPr>
        <w:tab/>
        <w:t xml:space="preserve"> Contingency Reserve Obligation </w:t>
      </w:r>
    </w:p>
    <w:p w14:paraId="560104A5" w14:textId="77777777" w:rsidR="00292609" w:rsidRPr="00292609" w:rsidRDefault="00292609" w:rsidP="00292609">
      <w:pPr>
        <w:rPr>
          <w:rFonts w:eastAsia="Calibri" w:cs="Times New Roman"/>
        </w:rPr>
      </w:pPr>
      <w:r w:rsidRPr="00292609">
        <w:rPr>
          <w:rFonts w:eastAsia="Calibri" w:cs="Times New Roman"/>
          <w:b/>
        </w:rPr>
        <w:t>DSM</w:t>
      </w:r>
      <w:r w:rsidRPr="00292609">
        <w:rPr>
          <w:rFonts w:eastAsia="Calibri" w:cs="Times New Roman"/>
        </w:rPr>
        <w:t>:</w:t>
      </w:r>
      <w:r w:rsidRPr="00292609">
        <w:rPr>
          <w:rFonts w:eastAsia="Calibri" w:cs="Times New Roman"/>
        </w:rPr>
        <w:tab/>
        <w:t xml:space="preserve"> Demand Side Management </w:t>
      </w:r>
    </w:p>
    <w:p w14:paraId="001C24B5" w14:textId="77777777" w:rsidR="00292609" w:rsidRPr="00292609" w:rsidRDefault="00292609" w:rsidP="00292609">
      <w:pPr>
        <w:rPr>
          <w:rFonts w:eastAsia="Calibri" w:cs="Times New Roman"/>
        </w:rPr>
      </w:pPr>
      <w:r w:rsidRPr="00292609">
        <w:rPr>
          <w:rFonts w:eastAsia="Calibri" w:cs="Times New Roman"/>
          <w:b/>
        </w:rPr>
        <w:t>EUE</w:t>
      </w:r>
      <w:r w:rsidRPr="00292609">
        <w:rPr>
          <w:rFonts w:eastAsia="Calibri" w:cs="Times New Roman"/>
        </w:rPr>
        <w:t>:</w:t>
      </w:r>
      <w:r w:rsidRPr="00292609">
        <w:rPr>
          <w:rFonts w:eastAsia="Calibri" w:cs="Times New Roman"/>
        </w:rPr>
        <w:tab/>
        <w:t xml:space="preserve">Expected Unserved Energy </w:t>
      </w:r>
    </w:p>
    <w:p w14:paraId="52B8E368" w14:textId="77777777" w:rsidR="00292609" w:rsidRPr="00292609" w:rsidRDefault="00292609" w:rsidP="00292609">
      <w:pPr>
        <w:rPr>
          <w:rFonts w:eastAsia="Calibri" w:cs="Times New Roman"/>
        </w:rPr>
      </w:pPr>
      <w:r w:rsidRPr="00292609">
        <w:rPr>
          <w:rFonts w:eastAsia="Calibri" w:cs="Times New Roman"/>
          <w:b/>
        </w:rPr>
        <w:t>FBC</w:t>
      </w:r>
      <w:r w:rsidRPr="00292609">
        <w:rPr>
          <w:rFonts w:eastAsia="Calibri" w:cs="Times New Roman"/>
        </w:rPr>
        <w:t>:</w:t>
      </w:r>
      <w:r w:rsidRPr="00292609">
        <w:rPr>
          <w:rFonts w:eastAsia="Calibri" w:cs="Times New Roman"/>
        </w:rPr>
        <w:tab/>
        <w:t>FortisBC</w:t>
      </w:r>
    </w:p>
    <w:p w14:paraId="19F8FAB5" w14:textId="77777777" w:rsidR="00292609" w:rsidRPr="00292609" w:rsidRDefault="00292609" w:rsidP="00292609">
      <w:pPr>
        <w:rPr>
          <w:rFonts w:eastAsia="Calibri" w:cs="Times New Roman"/>
        </w:rPr>
      </w:pPr>
      <w:r w:rsidRPr="00292609">
        <w:rPr>
          <w:rFonts w:eastAsia="Calibri" w:cs="Times New Roman"/>
          <w:b/>
        </w:rPr>
        <w:t>FOR</w:t>
      </w:r>
      <w:r w:rsidRPr="00292609">
        <w:rPr>
          <w:rFonts w:eastAsia="Calibri" w:cs="Times New Roman"/>
        </w:rPr>
        <w:t>:</w:t>
      </w:r>
      <w:r w:rsidRPr="00292609">
        <w:rPr>
          <w:rFonts w:eastAsia="Calibri" w:cs="Times New Roman"/>
        </w:rPr>
        <w:tab/>
        <w:t>Forced Outage Rate</w:t>
      </w:r>
    </w:p>
    <w:p w14:paraId="7FB69F28" w14:textId="77777777" w:rsidR="00292609" w:rsidRPr="00292609" w:rsidRDefault="00292609" w:rsidP="00292609">
      <w:pPr>
        <w:rPr>
          <w:rFonts w:eastAsia="Calibri" w:cs="Times New Roman"/>
        </w:rPr>
      </w:pPr>
      <w:r w:rsidRPr="00292609">
        <w:rPr>
          <w:rFonts w:eastAsia="Calibri" w:cs="Times New Roman"/>
          <w:b/>
        </w:rPr>
        <w:t>IRP</w:t>
      </w:r>
      <w:r w:rsidRPr="00292609">
        <w:rPr>
          <w:rFonts w:eastAsia="Calibri" w:cs="Times New Roman"/>
        </w:rPr>
        <w:t>:</w:t>
      </w:r>
      <w:r w:rsidRPr="00292609">
        <w:rPr>
          <w:rFonts w:eastAsia="Calibri" w:cs="Times New Roman"/>
        </w:rPr>
        <w:tab/>
        <w:t>Integrated Resource Plan</w:t>
      </w:r>
    </w:p>
    <w:p w14:paraId="1C04C495" w14:textId="77777777" w:rsidR="00292609" w:rsidRPr="00292609" w:rsidRDefault="00292609" w:rsidP="00292609">
      <w:pPr>
        <w:rPr>
          <w:rFonts w:eastAsia="Calibri" w:cs="Times New Roman"/>
        </w:rPr>
      </w:pPr>
      <w:r w:rsidRPr="00292609">
        <w:rPr>
          <w:rFonts w:eastAsia="Calibri" w:cs="Times New Roman"/>
          <w:b/>
        </w:rPr>
        <w:t>HLH</w:t>
      </w:r>
      <w:r w:rsidRPr="00292609">
        <w:rPr>
          <w:rFonts w:eastAsia="Calibri" w:cs="Times New Roman"/>
        </w:rPr>
        <w:t>:</w:t>
      </w:r>
      <w:r w:rsidRPr="00292609">
        <w:rPr>
          <w:rFonts w:eastAsia="Calibri" w:cs="Times New Roman"/>
        </w:rPr>
        <w:tab/>
        <w:t>Heavy Load Hour</w:t>
      </w:r>
    </w:p>
    <w:p w14:paraId="7DF65620" w14:textId="77777777" w:rsidR="00292609" w:rsidRPr="00292609" w:rsidRDefault="00292609" w:rsidP="00292609">
      <w:pPr>
        <w:rPr>
          <w:rFonts w:eastAsia="Calibri" w:cs="Times New Roman"/>
        </w:rPr>
      </w:pPr>
      <w:r w:rsidRPr="00292609">
        <w:rPr>
          <w:rFonts w:eastAsia="Calibri" w:cs="Times New Roman"/>
          <w:b/>
        </w:rPr>
        <w:t>LLH</w:t>
      </w:r>
      <w:r w:rsidRPr="00292609">
        <w:rPr>
          <w:rFonts w:eastAsia="Calibri" w:cs="Times New Roman"/>
        </w:rPr>
        <w:t>:</w:t>
      </w:r>
      <w:r w:rsidRPr="00292609">
        <w:rPr>
          <w:rFonts w:eastAsia="Calibri" w:cs="Times New Roman"/>
        </w:rPr>
        <w:tab/>
        <w:t>Light Load Hour</w:t>
      </w:r>
    </w:p>
    <w:p w14:paraId="6E530D32" w14:textId="77777777" w:rsidR="00292609" w:rsidRPr="00292609" w:rsidRDefault="00292609" w:rsidP="00292609">
      <w:pPr>
        <w:rPr>
          <w:rFonts w:eastAsia="Calibri" w:cs="Times New Roman"/>
        </w:rPr>
      </w:pPr>
      <w:r w:rsidRPr="00292609">
        <w:rPr>
          <w:rFonts w:eastAsia="Calibri" w:cs="Times New Roman"/>
          <w:b/>
        </w:rPr>
        <w:t>LOLE</w:t>
      </w:r>
      <w:r w:rsidRPr="00292609">
        <w:rPr>
          <w:rFonts w:eastAsia="Calibri" w:cs="Times New Roman"/>
        </w:rPr>
        <w:t>:</w:t>
      </w:r>
      <w:r w:rsidRPr="00292609">
        <w:rPr>
          <w:rFonts w:eastAsia="Calibri" w:cs="Times New Roman"/>
        </w:rPr>
        <w:tab/>
        <w:t>Loss Of Load Expectation</w:t>
      </w:r>
    </w:p>
    <w:p w14:paraId="032E35DF" w14:textId="77777777" w:rsidR="00292609" w:rsidRPr="00292609" w:rsidRDefault="00292609" w:rsidP="00292609">
      <w:pPr>
        <w:rPr>
          <w:rFonts w:eastAsia="Calibri" w:cs="Times New Roman"/>
        </w:rPr>
      </w:pPr>
      <w:r w:rsidRPr="00292609">
        <w:rPr>
          <w:rFonts w:eastAsia="Calibri" w:cs="Times New Roman"/>
          <w:b/>
        </w:rPr>
        <w:t>LOLH</w:t>
      </w:r>
      <w:r w:rsidRPr="00292609">
        <w:rPr>
          <w:rFonts w:eastAsia="Calibri" w:cs="Times New Roman"/>
        </w:rPr>
        <w:t>:</w:t>
      </w:r>
      <w:r w:rsidRPr="00292609">
        <w:rPr>
          <w:rFonts w:eastAsia="Calibri" w:cs="Times New Roman"/>
        </w:rPr>
        <w:tab/>
        <w:t>Loss Of Load Hour</w:t>
      </w:r>
    </w:p>
    <w:p w14:paraId="1ED5657C" w14:textId="77777777" w:rsidR="00292609" w:rsidRPr="00292609" w:rsidRDefault="00292609" w:rsidP="00292609">
      <w:pPr>
        <w:rPr>
          <w:rFonts w:eastAsia="Calibri" w:cs="Times New Roman"/>
        </w:rPr>
      </w:pPr>
      <w:r w:rsidRPr="00292609">
        <w:rPr>
          <w:rFonts w:eastAsia="Calibri" w:cs="Times New Roman"/>
          <w:b/>
        </w:rPr>
        <w:t>LOLP</w:t>
      </w:r>
      <w:r w:rsidRPr="00292609">
        <w:rPr>
          <w:rFonts w:eastAsia="Calibri" w:cs="Times New Roman"/>
        </w:rPr>
        <w:t>:</w:t>
      </w:r>
      <w:r w:rsidRPr="00292609">
        <w:rPr>
          <w:rFonts w:eastAsia="Calibri" w:cs="Times New Roman"/>
        </w:rPr>
        <w:tab/>
        <w:t>Loss Of Load Probability</w:t>
      </w:r>
    </w:p>
    <w:p w14:paraId="7BA305BC" w14:textId="77777777" w:rsidR="00292609" w:rsidRPr="00292609" w:rsidRDefault="00292609" w:rsidP="00292609">
      <w:pPr>
        <w:rPr>
          <w:rFonts w:eastAsia="Calibri" w:cs="Times New Roman"/>
        </w:rPr>
      </w:pPr>
      <w:r w:rsidRPr="00292609">
        <w:rPr>
          <w:rFonts w:eastAsia="Calibri" w:cs="Times New Roman"/>
          <w:b/>
        </w:rPr>
        <w:t>MC</w:t>
      </w:r>
      <w:r w:rsidRPr="00292609">
        <w:rPr>
          <w:rFonts w:eastAsia="Calibri" w:cs="Times New Roman"/>
        </w:rPr>
        <w:t>:</w:t>
      </w:r>
      <w:r w:rsidRPr="00292609">
        <w:rPr>
          <w:rFonts w:eastAsia="Calibri" w:cs="Times New Roman"/>
        </w:rPr>
        <w:tab/>
        <w:t>Monte-Carlo</w:t>
      </w:r>
    </w:p>
    <w:p w14:paraId="381FFD46" w14:textId="77777777" w:rsidR="00292609" w:rsidRPr="00292609" w:rsidRDefault="00292609" w:rsidP="00292609">
      <w:pPr>
        <w:rPr>
          <w:rFonts w:eastAsia="Calibri" w:cs="Times New Roman"/>
        </w:rPr>
      </w:pPr>
      <w:r w:rsidRPr="00292609">
        <w:rPr>
          <w:rFonts w:eastAsia="Calibri" w:cs="Times New Roman"/>
          <w:lang w:val="en-US"/>
        </w:rPr>
        <w:t>MSSC:</w:t>
      </w:r>
      <w:r w:rsidRPr="00292609">
        <w:rPr>
          <w:rFonts w:eastAsia="Calibri" w:cs="Times New Roman"/>
          <w:lang w:val="en-US"/>
        </w:rPr>
        <w:tab/>
        <w:t>Most Severe Single Contingency</w:t>
      </w:r>
    </w:p>
    <w:p w14:paraId="3E44498F" w14:textId="77777777" w:rsidR="00292609" w:rsidRPr="00292609" w:rsidRDefault="00292609" w:rsidP="00292609">
      <w:pPr>
        <w:rPr>
          <w:rFonts w:eastAsia="Calibri" w:cs="Times New Roman"/>
        </w:rPr>
      </w:pPr>
      <w:r w:rsidRPr="00292609">
        <w:rPr>
          <w:rFonts w:eastAsia="Calibri" w:cs="Times New Roman"/>
          <w:b/>
        </w:rPr>
        <w:t>NERC</w:t>
      </w:r>
      <w:r w:rsidRPr="00292609">
        <w:rPr>
          <w:rFonts w:eastAsia="Calibri" w:cs="Times New Roman"/>
        </w:rPr>
        <w:t>:</w:t>
      </w:r>
      <w:r w:rsidRPr="00292609">
        <w:rPr>
          <w:rFonts w:eastAsia="Calibri" w:cs="Times New Roman"/>
        </w:rPr>
        <w:tab/>
        <w:t>North American Electric Reliability Corporation</w:t>
      </w:r>
    </w:p>
    <w:p w14:paraId="5CC6D8B3" w14:textId="77777777" w:rsidR="00292609" w:rsidRPr="00292609" w:rsidRDefault="00292609" w:rsidP="00292609">
      <w:pPr>
        <w:rPr>
          <w:rFonts w:eastAsia="Calibri" w:cs="Times New Roman"/>
          <w:lang w:val="en-US"/>
        </w:rPr>
      </w:pPr>
      <w:r w:rsidRPr="00292609">
        <w:rPr>
          <w:rFonts w:eastAsia="Calibri" w:cs="Times New Roman"/>
          <w:b/>
          <w:lang w:val="en-US"/>
        </w:rPr>
        <w:t>NWPCC</w:t>
      </w:r>
      <w:r w:rsidRPr="00292609">
        <w:rPr>
          <w:rFonts w:eastAsia="Calibri" w:cs="Times New Roman"/>
          <w:lang w:val="en-US"/>
        </w:rPr>
        <w:t>: Northwest Power and Conservation Council</w:t>
      </w:r>
    </w:p>
    <w:p w14:paraId="53743E7E" w14:textId="77777777" w:rsidR="00292609" w:rsidRPr="00292609" w:rsidRDefault="00292609" w:rsidP="00292609">
      <w:pPr>
        <w:rPr>
          <w:rFonts w:eastAsia="Calibri" w:cs="Times New Roman"/>
        </w:rPr>
      </w:pPr>
      <w:r w:rsidRPr="00292609">
        <w:rPr>
          <w:rFonts w:eastAsia="Calibri" w:cs="Times New Roman"/>
          <w:b/>
          <w:lang w:val="en-US"/>
        </w:rPr>
        <w:t>NPP</w:t>
      </w:r>
      <w:r w:rsidRPr="00292609">
        <w:rPr>
          <w:rFonts w:eastAsia="Calibri" w:cs="Times New Roman"/>
          <w:lang w:val="en-US"/>
        </w:rPr>
        <w:t>:</w:t>
      </w:r>
      <w:r w:rsidRPr="00292609">
        <w:rPr>
          <w:rFonts w:eastAsia="Calibri" w:cs="Times New Roman"/>
          <w:lang w:val="en-US"/>
        </w:rPr>
        <w:tab/>
        <w:t>Northwest Power Pool</w:t>
      </w:r>
    </w:p>
    <w:p w14:paraId="2D8E3E18" w14:textId="77777777" w:rsidR="00292609" w:rsidRPr="00292609" w:rsidRDefault="00292609" w:rsidP="00292609">
      <w:pPr>
        <w:rPr>
          <w:rFonts w:eastAsia="Calibri" w:cs="Times New Roman"/>
        </w:rPr>
      </w:pPr>
      <w:r w:rsidRPr="00292609">
        <w:rPr>
          <w:rFonts w:eastAsia="Calibri" w:cs="Times New Roman"/>
          <w:b/>
        </w:rPr>
        <w:t>OR</w:t>
      </w:r>
      <w:r w:rsidRPr="00292609">
        <w:rPr>
          <w:rFonts w:eastAsia="Calibri" w:cs="Times New Roman"/>
        </w:rPr>
        <w:t>:</w:t>
      </w:r>
      <w:r w:rsidRPr="00292609">
        <w:rPr>
          <w:rFonts w:eastAsia="Calibri" w:cs="Times New Roman"/>
        </w:rPr>
        <w:tab/>
        <w:t>Operating Reserve</w:t>
      </w:r>
    </w:p>
    <w:p w14:paraId="44F0DBC9" w14:textId="77777777" w:rsidR="00292609" w:rsidRPr="00292609" w:rsidRDefault="00292609" w:rsidP="00292609">
      <w:pPr>
        <w:rPr>
          <w:rFonts w:eastAsia="Calibri" w:cs="Times New Roman"/>
          <w:lang w:val="en-US"/>
        </w:rPr>
      </w:pPr>
      <w:r w:rsidRPr="00292609">
        <w:rPr>
          <w:rFonts w:eastAsia="Calibri" w:cs="Times New Roman"/>
          <w:b/>
          <w:lang w:val="en-US"/>
        </w:rPr>
        <w:lastRenderedPageBreak/>
        <w:t>PPA</w:t>
      </w:r>
      <w:r w:rsidRPr="00292609">
        <w:rPr>
          <w:rFonts w:eastAsia="Calibri" w:cs="Times New Roman"/>
          <w:lang w:val="en-US"/>
        </w:rPr>
        <w:t>:</w:t>
      </w:r>
      <w:r w:rsidRPr="00292609">
        <w:rPr>
          <w:rFonts w:eastAsia="Calibri" w:cs="Times New Roman"/>
          <w:lang w:val="en-US"/>
        </w:rPr>
        <w:tab/>
        <w:t>Power Purchase Agreement</w:t>
      </w:r>
    </w:p>
    <w:p w14:paraId="672C8948" w14:textId="77777777" w:rsidR="00292609" w:rsidRPr="00292609" w:rsidRDefault="00292609" w:rsidP="00292609">
      <w:pPr>
        <w:rPr>
          <w:rFonts w:eastAsia="Calibri" w:cs="Times New Roman"/>
        </w:rPr>
      </w:pPr>
      <w:r w:rsidRPr="00292609">
        <w:rPr>
          <w:rFonts w:eastAsia="Calibri" w:cs="Times New Roman"/>
          <w:b/>
          <w:lang w:val="en-US"/>
        </w:rPr>
        <w:t>PBR</w:t>
      </w:r>
      <w:r w:rsidRPr="00292609">
        <w:rPr>
          <w:rFonts w:eastAsia="Calibri" w:cs="Times New Roman"/>
          <w:lang w:val="en-US"/>
        </w:rPr>
        <w:t>:</w:t>
      </w:r>
      <w:r w:rsidRPr="00292609">
        <w:rPr>
          <w:rFonts w:eastAsia="Calibri" w:cs="Times New Roman"/>
          <w:lang w:val="en-US"/>
        </w:rPr>
        <w:tab/>
        <w:t>Performance Based Ratemaking Plan</w:t>
      </w:r>
    </w:p>
    <w:p w14:paraId="329B7223" w14:textId="77777777" w:rsidR="00292609" w:rsidRPr="00292609" w:rsidRDefault="00292609" w:rsidP="00292609">
      <w:pPr>
        <w:rPr>
          <w:rFonts w:eastAsia="Calibri" w:cs="Times New Roman"/>
        </w:rPr>
      </w:pPr>
      <w:r w:rsidRPr="00292609">
        <w:rPr>
          <w:rFonts w:eastAsia="Calibri" w:cs="Times New Roman"/>
          <w:b/>
        </w:rPr>
        <w:t>PRM</w:t>
      </w:r>
      <w:r w:rsidRPr="00292609">
        <w:rPr>
          <w:rFonts w:eastAsia="Calibri" w:cs="Times New Roman"/>
        </w:rPr>
        <w:t>:</w:t>
      </w:r>
      <w:r w:rsidRPr="00292609">
        <w:rPr>
          <w:rFonts w:eastAsia="Calibri" w:cs="Times New Roman"/>
        </w:rPr>
        <w:tab/>
        <w:t>Planning Reserve Margin</w:t>
      </w:r>
    </w:p>
    <w:p w14:paraId="10768089" w14:textId="77777777" w:rsidR="00292609" w:rsidRPr="00292609" w:rsidRDefault="00292609" w:rsidP="00292609">
      <w:pPr>
        <w:rPr>
          <w:rFonts w:eastAsia="Calibri" w:cs="Times New Roman"/>
        </w:rPr>
      </w:pPr>
      <w:r w:rsidRPr="00292609">
        <w:rPr>
          <w:rFonts w:eastAsia="Calibri" w:cs="Times New Roman"/>
          <w:b/>
        </w:rPr>
        <w:t>RP</w:t>
      </w:r>
      <w:r w:rsidRPr="00292609">
        <w:rPr>
          <w:rFonts w:eastAsia="Calibri" w:cs="Times New Roman"/>
        </w:rPr>
        <w:t>:</w:t>
      </w:r>
      <w:r w:rsidRPr="00292609">
        <w:rPr>
          <w:rFonts w:eastAsia="Calibri" w:cs="Times New Roman"/>
        </w:rPr>
        <w:tab/>
        <w:t>Resource Plan</w:t>
      </w:r>
    </w:p>
    <w:p w14:paraId="2D2DB6C0" w14:textId="77777777" w:rsidR="00292609" w:rsidRPr="00292609" w:rsidRDefault="00292609" w:rsidP="00292609">
      <w:pPr>
        <w:rPr>
          <w:rFonts w:eastAsia="Calibri" w:cs="Times New Roman"/>
        </w:rPr>
      </w:pPr>
      <w:r w:rsidRPr="00292609">
        <w:rPr>
          <w:rFonts w:eastAsia="Calibri" w:cs="Times New Roman"/>
          <w:b/>
        </w:rPr>
        <w:t>RCA</w:t>
      </w:r>
      <w:r w:rsidRPr="00292609">
        <w:rPr>
          <w:rFonts w:eastAsia="Calibri" w:cs="Times New Roman"/>
        </w:rPr>
        <w:t>:</w:t>
      </w:r>
      <w:r w:rsidRPr="00292609">
        <w:rPr>
          <w:rFonts w:eastAsia="Calibri" w:cs="Times New Roman"/>
        </w:rPr>
        <w:tab/>
        <w:t>Residual Capacity Agreement</w:t>
      </w:r>
    </w:p>
    <w:p w14:paraId="4DC8B951" w14:textId="77777777" w:rsidR="00292609" w:rsidRPr="00292609" w:rsidRDefault="00292609" w:rsidP="00292609">
      <w:pPr>
        <w:rPr>
          <w:rFonts w:eastAsia="Calibri" w:cs="Times New Roman"/>
          <w:lang w:val="en-US"/>
        </w:rPr>
      </w:pPr>
      <w:r w:rsidRPr="00292609">
        <w:rPr>
          <w:rFonts w:eastAsia="Calibri" w:cs="Times New Roman"/>
          <w:b/>
          <w:lang w:val="en-US"/>
        </w:rPr>
        <w:t>RRA</w:t>
      </w:r>
      <w:r w:rsidRPr="00292609">
        <w:rPr>
          <w:rFonts w:eastAsia="Calibri" w:cs="Times New Roman"/>
          <w:lang w:val="en-US"/>
        </w:rPr>
        <w:t>:</w:t>
      </w:r>
      <w:r w:rsidRPr="00292609">
        <w:rPr>
          <w:rFonts w:eastAsia="Calibri" w:cs="Times New Roman"/>
          <w:lang w:val="en-US"/>
        </w:rPr>
        <w:tab/>
        <w:t>Revenue Requirements Application</w:t>
      </w:r>
    </w:p>
    <w:p w14:paraId="287A42E7" w14:textId="77777777" w:rsidR="00292609" w:rsidRPr="00292609" w:rsidRDefault="00292609" w:rsidP="00292609">
      <w:pPr>
        <w:rPr>
          <w:rFonts w:eastAsia="Calibri" w:cs="Times New Roman"/>
          <w:lang w:val="en-US"/>
        </w:rPr>
      </w:pPr>
      <w:r w:rsidRPr="00292609">
        <w:rPr>
          <w:rFonts w:eastAsia="Calibri" w:cs="Times New Roman"/>
          <w:b/>
          <w:lang w:val="en-US"/>
        </w:rPr>
        <w:t>ULE</w:t>
      </w:r>
      <w:r w:rsidRPr="00292609">
        <w:rPr>
          <w:rFonts w:eastAsia="Calibri" w:cs="Times New Roman"/>
          <w:lang w:val="en-US"/>
        </w:rPr>
        <w:t>:</w:t>
      </w:r>
      <w:r w:rsidRPr="00292609">
        <w:rPr>
          <w:rFonts w:eastAsia="Calibri" w:cs="Times New Roman"/>
          <w:lang w:val="en-US"/>
        </w:rPr>
        <w:tab/>
        <w:t>Upgrade and Life Extension Program</w:t>
      </w:r>
    </w:p>
    <w:p w14:paraId="75654FA9" w14:textId="77777777" w:rsidR="00292609" w:rsidRPr="00292609" w:rsidRDefault="00292609" w:rsidP="00292609">
      <w:pPr>
        <w:rPr>
          <w:rFonts w:eastAsia="Calibri" w:cs="Times New Roman"/>
        </w:rPr>
      </w:pPr>
      <w:r w:rsidRPr="00292609">
        <w:rPr>
          <w:rFonts w:eastAsia="Calibri" w:cs="Times New Roman"/>
          <w:b/>
          <w:lang w:val="en-US"/>
        </w:rPr>
        <w:t>WAX</w:t>
      </w:r>
      <w:r w:rsidRPr="00292609">
        <w:rPr>
          <w:rFonts w:eastAsia="Calibri" w:cs="Times New Roman"/>
          <w:lang w:val="en-US"/>
        </w:rPr>
        <w:t>:</w:t>
      </w:r>
      <w:r w:rsidRPr="00292609">
        <w:rPr>
          <w:rFonts w:eastAsia="Calibri" w:cs="Times New Roman"/>
          <w:lang w:val="en-US"/>
        </w:rPr>
        <w:tab/>
        <w:t>Waneta Expansion</w:t>
      </w:r>
    </w:p>
    <w:p w14:paraId="4AAE0BFE" w14:textId="77777777" w:rsidR="00292609" w:rsidRPr="00292609" w:rsidRDefault="00292609" w:rsidP="00292609">
      <w:pPr>
        <w:rPr>
          <w:rFonts w:eastAsia="Calibri" w:cs="Times New Roman"/>
        </w:rPr>
      </w:pPr>
      <w:r w:rsidRPr="00292609">
        <w:rPr>
          <w:rFonts w:eastAsia="Calibri" w:cs="Times New Roman"/>
          <w:b/>
        </w:rPr>
        <w:t>WECC</w:t>
      </w:r>
      <w:r w:rsidRPr="00292609">
        <w:rPr>
          <w:rFonts w:eastAsia="Calibri" w:cs="Times New Roman"/>
        </w:rPr>
        <w:t>: Western Electricity Coordinating Council</w:t>
      </w:r>
    </w:p>
    <w:p w14:paraId="120EE405" w14:textId="77777777" w:rsidR="00292609" w:rsidRPr="00292609" w:rsidRDefault="00292609" w:rsidP="00292609">
      <w:pPr>
        <w:rPr>
          <w:rFonts w:eastAsia="Calibri" w:cs="Times New Roman"/>
        </w:rPr>
      </w:pPr>
    </w:p>
    <w:p w14:paraId="3155301A" w14:textId="2C3180E6" w:rsidR="009B38FB" w:rsidRPr="00292609" w:rsidRDefault="009B38FB" w:rsidP="00DE0F07">
      <w:pPr>
        <w:jc w:val="left"/>
      </w:pPr>
    </w:p>
    <w:sectPr w:rsidR="009B38FB" w:rsidRPr="00292609" w:rsidSect="00292609">
      <w:headerReference w:type="default" r:id="rId44"/>
      <w:pgSz w:w="12240" w:h="15840"/>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0DF75E" w14:textId="77777777" w:rsidR="00780B28" w:rsidRDefault="00780B28" w:rsidP="00C42214">
      <w:pPr>
        <w:spacing w:line="240" w:lineRule="auto"/>
      </w:pPr>
      <w:r>
        <w:separator/>
      </w:r>
    </w:p>
  </w:endnote>
  <w:endnote w:type="continuationSeparator" w:id="0">
    <w:p w14:paraId="0EBB5010" w14:textId="77777777" w:rsidR="00780B28" w:rsidRDefault="00780B28" w:rsidP="00C42214">
      <w:pPr>
        <w:spacing w:line="240" w:lineRule="auto"/>
      </w:pPr>
      <w:r>
        <w:continuationSeparator/>
      </w:r>
    </w:p>
  </w:endnote>
  <w:endnote w:type="continuationNotice" w:id="1">
    <w:p w14:paraId="396E81EB" w14:textId="77777777" w:rsidR="00780B28" w:rsidRDefault="00780B2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51CAA" w14:textId="77777777" w:rsidR="004310B0" w:rsidRPr="00685DBF" w:rsidRDefault="004310B0" w:rsidP="00D14303">
    <w:pPr>
      <w:pBdr>
        <w:top w:val="single" w:sz="4" w:space="1" w:color="auto"/>
      </w:pBdr>
      <w:tabs>
        <w:tab w:val="left" w:pos="12060"/>
      </w:tabs>
      <w:jc w:val="right"/>
      <w:rPr>
        <w:rFonts w:cs="Arial"/>
        <w:sz w:val="2"/>
        <w:szCs w:val="18"/>
      </w:rPr>
    </w:pPr>
  </w:p>
  <w:p w14:paraId="7E395F26" w14:textId="77777777" w:rsidR="004310B0" w:rsidRPr="00DF45BF" w:rsidRDefault="004310B0" w:rsidP="00DF45BF">
    <w:pPr>
      <w:pBdr>
        <w:top w:val="single" w:sz="4" w:space="1" w:color="auto"/>
      </w:pBdr>
      <w:tabs>
        <w:tab w:val="left" w:pos="12060"/>
      </w:tabs>
      <w:spacing w:before="120"/>
      <w:jc w:val="right"/>
      <w:rPr>
        <w:rFonts w:cs="Arial"/>
        <w:sz w:val="18"/>
        <w:szCs w:val="18"/>
      </w:rPr>
    </w:pPr>
    <w:r w:rsidRPr="00685DBF">
      <w:rPr>
        <w:rFonts w:cs="Arial"/>
        <w:sz w:val="18"/>
        <w:szCs w:val="18"/>
      </w:rPr>
      <w:t xml:space="preserve">Page </w:t>
    </w:r>
    <w:r w:rsidRPr="00685DBF">
      <w:rPr>
        <w:rStyle w:val="PageNumber"/>
        <w:rFonts w:cs="Arial"/>
        <w:sz w:val="18"/>
        <w:szCs w:val="18"/>
      </w:rPr>
      <w:fldChar w:fldCharType="begin"/>
    </w:r>
    <w:r w:rsidRPr="00685DBF">
      <w:rPr>
        <w:rStyle w:val="PageNumber"/>
        <w:rFonts w:cs="Arial"/>
        <w:sz w:val="18"/>
        <w:szCs w:val="18"/>
      </w:rPr>
      <w:instrText xml:space="preserve"> PAGE </w:instrText>
    </w:r>
    <w:r w:rsidRPr="00685DBF">
      <w:rPr>
        <w:rStyle w:val="PageNumber"/>
        <w:rFonts w:cs="Arial"/>
        <w:sz w:val="18"/>
        <w:szCs w:val="18"/>
      </w:rPr>
      <w:fldChar w:fldCharType="separate"/>
    </w:r>
    <w:r w:rsidR="003C61BA">
      <w:rPr>
        <w:rStyle w:val="PageNumber"/>
        <w:rFonts w:cs="Arial"/>
        <w:noProof/>
        <w:sz w:val="18"/>
        <w:szCs w:val="18"/>
      </w:rPr>
      <w:t>i</w:t>
    </w:r>
    <w:r w:rsidRPr="00685DBF">
      <w:rPr>
        <w:rStyle w:val="PageNumber"/>
        <w:rFonts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B966D" w14:textId="77777777" w:rsidR="004310B0" w:rsidRPr="00685DBF" w:rsidRDefault="004310B0" w:rsidP="00D14303">
    <w:pPr>
      <w:pBdr>
        <w:top w:val="single" w:sz="4" w:space="1" w:color="auto"/>
      </w:pBdr>
      <w:tabs>
        <w:tab w:val="left" w:pos="12060"/>
      </w:tabs>
      <w:jc w:val="right"/>
      <w:rPr>
        <w:rFonts w:cs="Arial"/>
        <w:sz w:val="2"/>
        <w:szCs w:val="18"/>
      </w:rPr>
    </w:pPr>
  </w:p>
  <w:p w14:paraId="7C0679BC" w14:textId="77777777" w:rsidR="004310B0" w:rsidRPr="00DC2C91" w:rsidRDefault="004310B0" w:rsidP="005A70EC">
    <w:pPr>
      <w:pStyle w:val="FooterSection"/>
      <w:tabs>
        <w:tab w:val="left" w:pos="5400"/>
      </w:tabs>
    </w:pPr>
    <w:r>
      <w:t>Executive Summary</w:t>
    </w:r>
    <w:r w:rsidRPr="00DC2C91">
      <w:tab/>
    </w:r>
    <w:r>
      <w:tab/>
    </w:r>
    <w:r w:rsidRPr="00DC2C91">
      <w:t xml:space="preserve">Page </w:t>
    </w:r>
    <w:r>
      <w:t>ES-</w:t>
    </w:r>
    <w:r w:rsidRPr="00DC2C91">
      <w:rPr>
        <w:rStyle w:val="PageNumber"/>
      </w:rPr>
      <w:fldChar w:fldCharType="begin"/>
    </w:r>
    <w:r w:rsidRPr="00DC2C91">
      <w:rPr>
        <w:rStyle w:val="PageNumber"/>
      </w:rPr>
      <w:instrText xml:space="preserve"> PAGE </w:instrText>
    </w:r>
    <w:r w:rsidRPr="00DC2C91">
      <w:rPr>
        <w:rStyle w:val="PageNumber"/>
      </w:rPr>
      <w:fldChar w:fldCharType="separate"/>
    </w:r>
    <w:r w:rsidR="00DC3143">
      <w:rPr>
        <w:rStyle w:val="PageNumber"/>
        <w:noProof/>
      </w:rPr>
      <w:t>2</w:t>
    </w:r>
    <w:r w:rsidRPr="00DC2C91">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B7A89" w14:textId="77777777" w:rsidR="004310B0" w:rsidRPr="00685DBF" w:rsidRDefault="004310B0" w:rsidP="00D14303">
    <w:pPr>
      <w:pBdr>
        <w:top w:val="single" w:sz="4" w:space="1" w:color="auto"/>
      </w:pBdr>
      <w:tabs>
        <w:tab w:val="left" w:pos="12060"/>
      </w:tabs>
      <w:jc w:val="right"/>
      <w:rPr>
        <w:rFonts w:cs="Arial"/>
        <w:sz w:val="2"/>
        <w:szCs w:val="18"/>
      </w:rPr>
    </w:pPr>
  </w:p>
  <w:p w14:paraId="45688740" w14:textId="77777777" w:rsidR="004310B0" w:rsidRPr="00DC2C91" w:rsidRDefault="004310B0" w:rsidP="005A70EC">
    <w:pPr>
      <w:pStyle w:val="FooterSection"/>
      <w:tabs>
        <w:tab w:val="left" w:pos="5400"/>
      </w:tabs>
    </w:pPr>
    <w:r>
      <w:t>Section 2:  Overview of FortisBC Operating Environment</w:t>
    </w:r>
    <w:r w:rsidRPr="00DC2C91">
      <w:tab/>
    </w:r>
    <w:r>
      <w:tab/>
    </w:r>
    <w:r w:rsidRPr="00DC2C91">
      <w:t xml:space="preserve">Page </w:t>
    </w:r>
    <w:r w:rsidRPr="00DC2C91">
      <w:rPr>
        <w:rStyle w:val="PageNumber"/>
      </w:rPr>
      <w:fldChar w:fldCharType="begin"/>
    </w:r>
    <w:r w:rsidRPr="00DC2C91">
      <w:rPr>
        <w:rStyle w:val="PageNumber"/>
      </w:rPr>
      <w:instrText xml:space="preserve"> PAGE </w:instrText>
    </w:r>
    <w:r w:rsidRPr="00DC2C91">
      <w:rPr>
        <w:rStyle w:val="PageNumber"/>
      </w:rPr>
      <w:fldChar w:fldCharType="separate"/>
    </w:r>
    <w:r w:rsidR="00DC3143">
      <w:rPr>
        <w:rStyle w:val="PageNumber"/>
        <w:noProof/>
      </w:rPr>
      <w:t>14</w:t>
    </w:r>
    <w:r w:rsidRPr="00DC2C91">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2DF16" w14:textId="77777777" w:rsidR="004310B0" w:rsidRPr="00685DBF" w:rsidRDefault="004310B0" w:rsidP="00D14303">
    <w:pPr>
      <w:pBdr>
        <w:top w:val="single" w:sz="4" w:space="1" w:color="auto"/>
      </w:pBdr>
      <w:tabs>
        <w:tab w:val="left" w:pos="12060"/>
      </w:tabs>
      <w:jc w:val="right"/>
      <w:rPr>
        <w:rFonts w:cs="Arial"/>
        <w:sz w:val="2"/>
        <w:szCs w:val="18"/>
      </w:rPr>
    </w:pPr>
  </w:p>
  <w:p w14:paraId="36A5259C" w14:textId="77777777" w:rsidR="004310B0" w:rsidRPr="00DC2C91" w:rsidRDefault="004310B0" w:rsidP="005A70EC">
    <w:pPr>
      <w:pStyle w:val="FooterSection"/>
      <w:tabs>
        <w:tab w:val="left" w:pos="5400"/>
      </w:tabs>
    </w:pPr>
    <w:r>
      <w:t>Section 3:  Monte-Carlo Simulation Results</w:t>
    </w:r>
    <w:r w:rsidRPr="00DC2C91">
      <w:tab/>
    </w:r>
    <w:r>
      <w:tab/>
    </w:r>
    <w:r w:rsidRPr="00DC2C91">
      <w:t xml:space="preserve">Page </w:t>
    </w:r>
    <w:r w:rsidRPr="00DC2C91">
      <w:rPr>
        <w:rStyle w:val="PageNumber"/>
      </w:rPr>
      <w:fldChar w:fldCharType="begin"/>
    </w:r>
    <w:r w:rsidRPr="00DC2C91">
      <w:rPr>
        <w:rStyle w:val="PageNumber"/>
      </w:rPr>
      <w:instrText xml:space="preserve"> PAGE </w:instrText>
    </w:r>
    <w:r w:rsidRPr="00DC2C91">
      <w:rPr>
        <w:rStyle w:val="PageNumber"/>
      </w:rPr>
      <w:fldChar w:fldCharType="separate"/>
    </w:r>
    <w:r w:rsidR="00DC3143">
      <w:rPr>
        <w:rStyle w:val="PageNumber"/>
        <w:noProof/>
      </w:rPr>
      <w:t>25</w:t>
    </w:r>
    <w:r w:rsidRPr="00DC2C91">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7D4B6" w14:textId="77777777" w:rsidR="004310B0" w:rsidRPr="00685DBF" w:rsidRDefault="004310B0" w:rsidP="00D14303">
    <w:pPr>
      <w:pBdr>
        <w:top w:val="single" w:sz="4" w:space="1" w:color="auto"/>
      </w:pBdr>
      <w:tabs>
        <w:tab w:val="left" w:pos="12060"/>
      </w:tabs>
      <w:jc w:val="right"/>
      <w:rPr>
        <w:rFonts w:cs="Arial"/>
        <w:sz w:val="2"/>
        <w:szCs w:val="18"/>
      </w:rPr>
    </w:pPr>
  </w:p>
  <w:p w14:paraId="2FF7D4B7" w14:textId="77777777" w:rsidR="004310B0" w:rsidRPr="00DC2C91" w:rsidRDefault="004310B0" w:rsidP="005A70EC">
    <w:pPr>
      <w:pStyle w:val="FooterSection"/>
      <w:tabs>
        <w:tab w:val="left" w:pos="5400"/>
      </w:tabs>
    </w:pPr>
    <w:r>
      <w:t>Section 4:  Conclusion</w:t>
    </w:r>
    <w:r w:rsidRPr="00DC2C91">
      <w:tab/>
    </w:r>
    <w:r>
      <w:tab/>
    </w:r>
    <w:r w:rsidRPr="00DC2C91">
      <w:t xml:space="preserve">Page </w:t>
    </w:r>
    <w:r w:rsidRPr="00DC2C91">
      <w:rPr>
        <w:rStyle w:val="PageNumber"/>
      </w:rPr>
      <w:fldChar w:fldCharType="begin"/>
    </w:r>
    <w:r w:rsidRPr="00DC2C91">
      <w:rPr>
        <w:rStyle w:val="PageNumber"/>
      </w:rPr>
      <w:instrText xml:space="preserve"> PAGE </w:instrText>
    </w:r>
    <w:r w:rsidRPr="00DC2C91">
      <w:rPr>
        <w:rStyle w:val="PageNumber"/>
      </w:rPr>
      <w:fldChar w:fldCharType="separate"/>
    </w:r>
    <w:r w:rsidR="003B392A">
      <w:rPr>
        <w:rStyle w:val="PageNumber"/>
        <w:noProof/>
      </w:rPr>
      <w:t>27</w:t>
    </w:r>
    <w:r w:rsidRPr="00DC2C91">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08AB8" w14:textId="77777777" w:rsidR="004310B0" w:rsidRPr="00DC2C91" w:rsidRDefault="004310B0" w:rsidP="00DC2C91">
    <w:r w:rsidRPr="00DC2C91">
      <w:tab/>
      <w:t xml:space="preserve">Page </w:t>
    </w:r>
    <w:r w:rsidRPr="00DC2C91">
      <w:rPr>
        <w:rStyle w:val="PageNumber"/>
      </w:rPr>
      <w:fldChar w:fldCharType="begin"/>
    </w:r>
    <w:r w:rsidRPr="00DC2C91">
      <w:rPr>
        <w:rStyle w:val="PageNumber"/>
      </w:rPr>
      <w:instrText xml:space="preserve"> PAGE </w:instrText>
    </w:r>
    <w:r w:rsidRPr="00DC2C91">
      <w:rPr>
        <w:rStyle w:val="PageNumber"/>
      </w:rPr>
      <w:fldChar w:fldCharType="separate"/>
    </w:r>
    <w:r w:rsidR="00DC3143">
      <w:rPr>
        <w:rStyle w:val="PageNumber"/>
        <w:noProof/>
      </w:rPr>
      <w:t>36</w:t>
    </w:r>
    <w:r w:rsidRPr="00DC2C91">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9E025F" w14:textId="77777777" w:rsidR="004310B0" w:rsidRPr="00DC2C91" w:rsidRDefault="004310B0" w:rsidP="00DC2C91">
    <w:r w:rsidRPr="00DC2C91">
      <w:tab/>
      <w:t xml:space="preserve">Page </w:t>
    </w:r>
    <w:r w:rsidRPr="00DC2C91">
      <w:rPr>
        <w:rStyle w:val="PageNumber"/>
      </w:rPr>
      <w:fldChar w:fldCharType="begin"/>
    </w:r>
    <w:r w:rsidRPr="00DC2C91">
      <w:rPr>
        <w:rStyle w:val="PageNumber"/>
      </w:rPr>
      <w:instrText xml:space="preserve"> PAGE </w:instrText>
    </w:r>
    <w:r w:rsidRPr="00DC2C91">
      <w:rPr>
        <w:rStyle w:val="PageNumber"/>
      </w:rPr>
      <w:fldChar w:fldCharType="separate"/>
    </w:r>
    <w:r w:rsidR="00DC3143">
      <w:rPr>
        <w:rStyle w:val="PageNumber"/>
        <w:noProof/>
      </w:rPr>
      <w:t>37</w:t>
    </w:r>
    <w:r w:rsidRPr="00DC2C91">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A37566" w14:textId="77777777" w:rsidR="004310B0" w:rsidRPr="00DC2C91" w:rsidRDefault="004310B0" w:rsidP="00DC2C91">
    <w:pPr>
      <w:pStyle w:val="FooterSection"/>
    </w:pPr>
    <w:r w:rsidRPr="00DC2C91">
      <w:tab/>
      <w:t xml:space="preserve">Page </w:t>
    </w:r>
    <w:r w:rsidRPr="00DC2C91">
      <w:rPr>
        <w:rStyle w:val="PageNumber"/>
      </w:rPr>
      <w:fldChar w:fldCharType="begin"/>
    </w:r>
    <w:r w:rsidRPr="00DC2C91">
      <w:rPr>
        <w:rStyle w:val="PageNumber"/>
      </w:rPr>
      <w:instrText xml:space="preserve"> PAGE </w:instrText>
    </w:r>
    <w:r w:rsidRPr="00DC2C91">
      <w:rPr>
        <w:rStyle w:val="PageNumber"/>
      </w:rPr>
      <w:fldChar w:fldCharType="separate"/>
    </w:r>
    <w:r w:rsidR="00DC3143">
      <w:rPr>
        <w:rStyle w:val="PageNumber"/>
        <w:noProof/>
      </w:rPr>
      <w:t>40</w:t>
    </w:r>
    <w:r w:rsidRPr="00DC2C91">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BA9F9" w14:textId="77777777" w:rsidR="004310B0" w:rsidRPr="00DC2C91" w:rsidRDefault="004310B0" w:rsidP="00DC2C91">
    <w:pPr>
      <w:pStyle w:val="FooterSection"/>
    </w:pPr>
    <w:r w:rsidRPr="00DC2C91">
      <w:tab/>
      <w:t xml:space="preserve">Page </w:t>
    </w:r>
    <w:r w:rsidRPr="00DC2C91">
      <w:rPr>
        <w:rStyle w:val="PageNumber"/>
      </w:rPr>
      <w:fldChar w:fldCharType="begin"/>
    </w:r>
    <w:r w:rsidRPr="00DC2C91">
      <w:rPr>
        <w:rStyle w:val="PageNumber"/>
      </w:rPr>
      <w:instrText xml:space="preserve"> PAGE </w:instrText>
    </w:r>
    <w:r w:rsidRPr="00DC2C91">
      <w:rPr>
        <w:rStyle w:val="PageNumber"/>
      </w:rPr>
      <w:fldChar w:fldCharType="separate"/>
    </w:r>
    <w:r w:rsidR="00DC3143">
      <w:rPr>
        <w:rStyle w:val="PageNumber"/>
        <w:noProof/>
      </w:rPr>
      <w:t>47</w:t>
    </w:r>
    <w:r w:rsidRPr="00DC2C9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60D1C3" w14:textId="77777777" w:rsidR="00780B28" w:rsidRDefault="00780B28" w:rsidP="00C42214">
      <w:pPr>
        <w:spacing w:line="240" w:lineRule="auto"/>
      </w:pPr>
      <w:r>
        <w:separator/>
      </w:r>
    </w:p>
  </w:footnote>
  <w:footnote w:type="continuationSeparator" w:id="0">
    <w:p w14:paraId="63785E62" w14:textId="77777777" w:rsidR="00780B28" w:rsidRDefault="00780B28" w:rsidP="00C42214">
      <w:pPr>
        <w:spacing w:line="240" w:lineRule="auto"/>
      </w:pPr>
      <w:r>
        <w:continuationSeparator/>
      </w:r>
    </w:p>
  </w:footnote>
  <w:footnote w:type="continuationNotice" w:id="1">
    <w:p w14:paraId="2744A6B8" w14:textId="77777777" w:rsidR="00780B28" w:rsidRDefault="00780B28">
      <w:pPr>
        <w:spacing w:after="0" w:line="240" w:lineRule="auto"/>
      </w:pPr>
    </w:p>
  </w:footnote>
  <w:footnote w:id="2">
    <w:p w14:paraId="566A2CA8" w14:textId="77777777" w:rsidR="004310B0" w:rsidRPr="00DD0FD3" w:rsidRDefault="004310B0" w:rsidP="00EF1D77">
      <w:pPr>
        <w:pStyle w:val="FootnoteText"/>
        <w:jc w:val="left"/>
        <w:rPr>
          <w:lang w:val="en-US"/>
        </w:rPr>
      </w:pPr>
      <w:r>
        <w:rPr>
          <w:rStyle w:val="FootnoteReference"/>
        </w:rPr>
        <w:footnoteRef/>
      </w:r>
      <w:r>
        <w:t xml:space="preserve"> </w:t>
      </w:r>
      <w:r>
        <w:tab/>
      </w:r>
      <w:r>
        <w:rPr>
          <w:lang w:val="en-US"/>
        </w:rPr>
        <w:t xml:space="preserve">NERC website as of May 20, 2014: </w:t>
      </w:r>
      <w:hyperlink r:id="rId1" w:history="1">
        <w:r w:rsidRPr="009314A5">
          <w:rPr>
            <w:rStyle w:val="Hyperlink"/>
          </w:rPr>
          <w:t>http://www.nerc.com/pa/RAPA/ri/Pages/PlanningReserveMargin.aspx</w:t>
        </w:r>
      </w:hyperlink>
      <w:r>
        <w:t xml:space="preserve"> </w:t>
      </w:r>
    </w:p>
  </w:footnote>
  <w:footnote w:id="3">
    <w:p w14:paraId="42401959" w14:textId="77777777" w:rsidR="004310B0" w:rsidRPr="00D1701D" w:rsidRDefault="004310B0" w:rsidP="00EF1D77">
      <w:pPr>
        <w:pStyle w:val="FootnoteText"/>
        <w:spacing w:before="0"/>
        <w:jc w:val="left"/>
        <w:rPr>
          <w:lang w:val="en-US"/>
        </w:rPr>
      </w:pPr>
      <w:r>
        <w:rPr>
          <w:rStyle w:val="FootnoteReference"/>
        </w:rPr>
        <w:footnoteRef/>
      </w:r>
      <w:r>
        <w:t xml:space="preserve"> </w:t>
      </w:r>
      <w:r>
        <w:tab/>
      </w:r>
      <w:r>
        <w:rPr>
          <w:lang w:val="en-US"/>
        </w:rPr>
        <w:t xml:space="preserve">NERC, Glossary of terms used in NERC reliability standards, May 8, 2014, p.33 </w:t>
      </w:r>
      <w:hyperlink r:id="rId2" w:history="1">
        <w:r w:rsidRPr="00403B08">
          <w:rPr>
            <w:rStyle w:val="Hyperlink"/>
            <w:lang w:val="en-US"/>
          </w:rPr>
          <w:t>http://www.nerc.com/files/Glossary_of_Terms.pdf</w:t>
        </w:r>
      </w:hyperlink>
      <w:r>
        <w:rPr>
          <w:lang w:val="en-US"/>
        </w:rPr>
        <w:t xml:space="preserve"> </w:t>
      </w:r>
    </w:p>
  </w:footnote>
  <w:footnote w:id="4">
    <w:p w14:paraId="30194FE3" w14:textId="77777777" w:rsidR="004310B0" w:rsidRPr="00351B62" w:rsidRDefault="004310B0" w:rsidP="00EF1D77">
      <w:pPr>
        <w:pStyle w:val="FootnoteText"/>
        <w:rPr>
          <w:lang w:val="en-US"/>
        </w:rPr>
      </w:pPr>
      <w:r>
        <w:rPr>
          <w:rStyle w:val="FootnoteReference"/>
        </w:rPr>
        <w:footnoteRef/>
      </w:r>
      <w:r>
        <w:t xml:space="preserve"> </w:t>
      </w:r>
      <w:r>
        <w:rPr>
          <w:lang w:val="en-US"/>
        </w:rPr>
        <w:t>Defined in the NERC glossary above under OR: Spinning and Supplemental (non-spinning)</w:t>
      </w:r>
    </w:p>
  </w:footnote>
  <w:footnote w:id="5">
    <w:p w14:paraId="561A8829" w14:textId="77777777" w:rsidR="004310B0" w:rsidRPr="00A235F5" w:rsidRDefault="004310B0" w:rsidP="00EF1D77">
      <w:pPr>
        <w:pStyle w:val="FootnoteText"/>
        <w:spacing w:before="0"/>
        <w:jc w:val="left"/>
      </w:pPr>
      <w:r>
        <w:rPr>
          <w:rStyle w:val="FootnoteReference"/>
        </w:rPr>
        <w:footnoteRef/>
      </w:r>
      <w:r>
        <w:t xml:space="preserve"> </w:t>
      </w:r>
      <w:r>
        <w:tab/>
      </w:r>
      <w:hyperlink r:id="rId3" w:history="1">
        <w:r w:rsidRPr="00403B08">
          <w:rPr>
            <w:rStyle w:val="Hyperlink"/>
          </w:rPr>
          <w:t>http://www.nerc.com/files/BAL-002-0.pdf</w:t>
        </w:r>
      </w:hyperlink>
      <w:r>
        <w:t xml:space="preserve"> </w:t>
      </w:r>
    </w:p>
  </w:footnote>
  <w:footnote w:id="6">
    <w:p w14:paraId="52E67EC9" w14:textId="77777777" w:rsidR="004310B0" w:rsidRPr="00A235F5" w:rsidRDefault="004310B0" w:rsidP="00EF1D77">
      <w:pPr>
        <w:pStyle w:val="FootnoteText"/>
        <w:spacing w:before="0"/>
        <w:jc w:val="left"/>
      </w:pPr>
      <w:r>
        <w:rPr>
          <w:rStyle w:val="FootnoteReference"/>
        </w:rPr>
        <w:footnoteRef/>
      </w:r>
      <w:r>
        <w:t xml:space="preserve"> </w:t>
      </w:r>
      <w:r>
        <w:tab/>
      </w:r>
      <w:hyperlink r:id="rId4" w:history="1">
        <w:r w:rsidRPr="00403B08">
          <w:rPr>
            <w:rStyle w:val="Hyperlink"/>
          </w:rPr>
          <w:t>http://www.nerc.com/files/BAL-STD-002-0.pdf</w:t>
        </w:r>
      </w:hyperlink>
      <w:r>
        <w:t xml:space="preserve"> </w:t>
      </w:r>
    </w:p>
  </w:footnote>
  <w:footnote w:id="7">
    <w:p w14:paraId="6F9AC274" w14:textId="77777777" w:rsidR="004310B0" w:rsidRPr="008160CE" w:rsidRDefault="004310B0" w:rsidP="00EF1D77">
      <w:pPr>
        <w:pStyle w:val="FootnoteText"/>
        <w:spacing w:before="0"/>
        <w:jc w:val="left"/>
        <w:rPr>
          <w:lang w:val="en-US"/>
        </w:rPr>
      </w:pPr>
      <w:r>
        <w:rPr>
          <w:rStyle w:val="FootnoteReference"/>
        </w:rPr>
        <w:footnoteRef/>
      </w:r>
      <w:r>
        <w:t xml:space="preserve"> </w:t>
      </w:r>
      <w:r>
        <w:tab/>
      </w:r>
      <w:r>
        <w:rPr>
          <w:lang w:val="en-US"/>
        </w:rPr>
        <w:t xml:space="preserve">WECC 2011 Power Supply Assessment, p. 14, </w:t>
      </w:r>
      <w:hyperlink r:id="rId5" w:history="1">
        <w:r w:rsidRPr="00133BFE">
          <w:rPr>
            <w:rStyle w:val="Hyperlink"/>
          </w:rPr>
          <w:t>http://www.wecc.biz/library/WECC%20Documents/Publications/Power%20Supply%20Assessments/2011%20Power%20Suppy%20Assessment.pdf</w:t>
        </w:r>
      </w:hyperlink>
      <w:r>
        <w:t xml:space="preserve"> </w:t>
      </w:r>
    </w:p>
  </w:footnote>
  <w:footnote w:id="8">
    <w:p w14:paraId="1F22C963" w14:textId="77777777" w:rsidR="004310B0" w:rsidRPr="00632332" w:rsidRDefault="004310B0" w:rsidP="00EF1D77">
      <w:pPr>
        <w:pStyle w:val="FootnoteText"/>
        <w:spacing w:before="0"/>
        <w:jc w:val="left"/>
        <w:rPr>
          <w:lang w:val="en-US"/>
        </w:rPr>
      </w:pPr>
      <w:r>
        <w:rPr>
          <w:rStyle w:val="FootnoteReference"/>
        </w:rPr>
        <w:footnoteRef/>
      </w:r>
      <w:r>
        <w:t xml:space="preserve"> </w:t>
      </w:r>
      <w:r>
        <w:tab/>
      </w:r>
      <w:r>
        <w:rPr>
          <w:lang w:val="en-US"/>
        </w:rPr>
        <w:t xml:space="preserve">Reserve in Capacity Planning – A Northwest Approach, p.2 </w:t>
      </w:r>
      <w:hyperlink r:id="rId6" w:history="1">
        <w:r w:rsidRPr="0026427A">
          <w:rPr>
            <w:rStyle w:val="Hyperlink"/>
            <w:lang w:val="en-US"/>
          </w:rPr>
          <w:t>http://pnucc.org/sites/default/files/ReservesinCapacityPlanningFinal.pdf</w:t>
        </w:r>
      </w:hyperlink>
      <w:r>
        <w:rPr>
          <w:lang w:val="en-US"/>
        </w:rPr>
        <w:t xml:space="preserve"> </w:t>
      </w:r>
    </w:p>
  </w:footnote>
  <w:footnote w:id="9">
    <w:p w14:paraId="1494AE83" w14:textId="77777777" w:rsidR="004310B0" w:rsidRPr="00DB5CC7" w:rsidRDefault="004310B0" w:rsidP="00EF1D77">
      <w:pPr>
        <w:pStyle w:val="FootnoteText"/>
        <w:spacing w:before="0"/>
        <w:jc w:val="left"/>
        <w:rPr>
          <w:lang w:val="en-US"/>
        </w:rPr>
      </w:pPr>
      <w:r>
        <w:rPr>
          <w:rStyle w:val="FootnoteReference"/>
        </w:rPr>
        <w:footnoteRef/>
      </w:r>
      <w:r>
        <w:t xml:space="preserve"> </w:t>
      </w:r>
      <w:r>
        <w:tab/>
        <w:t>BC Hydro (</w:t>
      </w:r>
      <w:r w:rsidRPr="00DC537D">
        <w:rPr>
          <w:b/>
          <w:lang w:val="en-US"/>
        </w:rPr>
        <w:t>BCH</w:t>
      </w:r>
      <w:r>
        <w:rPr>
          <w:lang w:val="en-US"/>
        </w:rPr>
        <w:t>) uses capacity margin, defined as (Capacity-Peak Demand)/Capacity instead of PRM</w:t>
      </w:r>
      <w:r>
        <w:t xml:space="preserve"> (App. F)</w:t>
      </w:r>
      <w:r>
        <w:rPr>
          <w:lang w:val="en-US"/>
        </w:rPr>
        <w:t xml:space="preserve">. </w:t>
      </w:r>
    </w:p>
  </w:footnote>
  <w:footnote w:id="10">
    <w:p w14:paraId="26F79F5F" w14:textId="77777777" w:rsidR="004310B0" w:rsidRPr="005D7890" w:rsidRDefault="004310B0" w:rsidP="00EF1D77">
      <w:pPr>
        <w:pStyle w:val="FootnoteText"/>
        <w:spacing w:before="0"/>
        <w:jc w:val="left"/>
        <w:rPr>
          <w:lang w:val="en-US"/>
        </w:rPr>
      </w:pPr>
      <w:r>
        <w:rPr>
          <w:rStyle w:val="FootnoteReference"/>
        </w:rPr>
        <w:footnoteRef/>
      </w:r>
      <w:r>
        <w:t xml:space="preserve"> </w:t>
      </w:r>
      <w:r>
        <w:tab/>
      </w:r>
      <w:hyperlink r:id="rId7" w:history="1">
        <w:r w:rsidRPr="0026427A">
          <w:rPr>
            <w:rStyle w:val="Hyperlink"/>
          </w:rPr>
          <w:t>http://www.avistautilities.com/inside/resources/irp/electric/Documents/2011%20Electric%20IRP.pdf</w:t>
        </w:r>
      </w:hyperlink>
      <w:r>
        <w:t>, p.2-21</w:t>
      </w:r>
    </w:p>
  </w:footnote>
  <w:footnote w:id="11">
    <w:p w14:paraId="04A9D9CE" w14:textId="77777777" w:rsidR="004310B0" w:rsidRPr="005A486F" w:rsidRDefault="004310B0" w:rsidP="00EF1D77">
      <w:pPr>
        <w:pStyle w:val="FootnoteText"/>
        <w:spacing w:before="0"/>
        <w:jc w:val="left"/>
        <w:rPr>
          <w:lang w:val="en-US"/>
        </w:rPr>
      </w:pPr>
      <w:r>
        <w:rPr>
          <w:rStyle w:val="FootnoteReference"/>
        </w:rPr>
        <w:footnoteRef/>
      </w:r>
      <w:r>
        <w:t xml:space="preserve"> </w:t>
      </w:r>
      <w:r>
        <w:tab/>
      </w:r>
      <w:hyperlink r:id="rId8" w:history="1">
        <w:r w:rsidRPr="0026427A">
          <w:rPr>
            <w:rStyle w:val="Hyperlink"/>
          </w:rPr>
          <w:t>http://www.idahopower.com/pdfs/AboutUs/PlanningForFuture/irp/2011/2011IRPFINAL.pdf</w:t>
        </w:r>
      </w:hyperlink>
      <w:r>
        <w:t>, p.115</w:t>
      </w:r>
    </w:p>
  </w:footnote>
  <w:footnote w:id="12">
    <w:p w14:paraId="03156298" w14:textId="77777777" w:rsidR="004310B0" w:rsidRPr="007A77D8" w:rsidRDefault="004310B0" w:rsidP="00EF1D77">
      <w:pPr>
        <w:pStyle w:val="FootnoteText"/>
        <w:spacing w:before="0"/>
        <w:jc w:val="left"/>
        <w:rPr>
          <w:lang w:val="en-US"/>
        </w:rPr>
      </w:pPr>
      <w:r>
        <w:rPr>
          <w:rStyle w:val="FootnoteReference"/>
        </w:rPr>
        <w:footnoteRef/>
      </w:r>
      <w:r>
        <w:t xml:space="preserve"> </w:t>
      </w:r>
      <w:r>
        <w:tab/>
      </w:r>
      <w:r w:rsidRPr="009A40E0">
        <w:t>http://www.northwesternenergy.com/our-company/regulatory-environment/2013-electricity-supply-resource-procurement-plan/2011-electric-supply-resource-procurement-plan#1</w:t>
      </w:r>
    </w:p>
  </w:footnote>
  <w:footnote w:id="13">
    <w:p w14:paraId="667421E1" w14:textId="77777777" w:rsidR="004310B0" w:rsidRPr="00495C05" w:rsidRDefault="004310B0" w:rsidP="00EF1D77">
      <w:pPr>
        <w:pStyle w:val="FootnoteText"/>
        <w:spacing w:before="0"/>
        <w:jc w:val="left"/>
        <w:rPr>
          <w:lang w:val="fr-FR"/>
        </w:rPr>
      </w:pPr>
      <w:r>
        <w:rPr>
          <w:rStyle w:val="FootnoteReference"/>
        </w:rPr>
        <w:footnoteRef/>
      </w:r>
      <w:r w:rsidRPr="00495C05">
        <w:rPr>
          <w:lang w:val="fr-FR"/>
        </w:rPr>
        <w:t xml:space="preserve"> </w:t>
      </w:r>
      <w:r>
        <w:rPr>
          <w:lang w:val="fr-FR"/>
        </w:rPr>
        <w:t xml:space="preserve"> </w:t>
      </w:r>
      <w:hyperlink r:id="rId9" w:history="1">
        <w:r w:rsidRPr="00495C05">
          <w:rPr>
            <w:rStyle w:val="Hyperlink"/>
            <w:lang w:val="fr-FR"/>
          </w:rPr>
          <w:t>http://www.pacificorp.com/content/dam/pacificorp/doc/Energy_Sources/Integrated_Resource_Plan/2011IRP/2011IRP-Appendices_Vol2-FINAL.pdf</w:t>
        </w:r>
      </w:hyperlink>
      <w:r w:rsidRPr="00495C05">
        <w:rPr>
          <w:lang w:val="fr-FR"/>
        </w:rPr>
        <w:t xml:space="preserve">, </w:t>
      </w:r>
      <w:r>
        <w:rPr>
          <w:lang w:val="fr-FR"/>
        </w:rPr>
        <w:t xml:space="preserve"> </w:t>
      </w:r>
      <w:r w:rsidRPr="00F3400B">
        <w:rPr>
          <w:lang w:val="fr-CA"/>
        </w:rPr>
        <w:t>Appendix</w:t>
      </w:r>
      <w:r w:rsidRPr="00495C05">
        <w:rPr>
          <w:lang w:val="fr-FR"/>
        </w:rPr>
        <w:t xml:space="preserve"> J.</w:t>
      </w:r>
    </w:p>
  </w:footnote>
  <w:footnote w:id="14">
    <w:p w14:paraId="1044AB95" w14:textId="77777777" w:rsidR="004310B0" w:rsidRPr="00495C05" w:rsidRDefault="004310B0" w:rsidP="00EF1D77">
      <w:pPr>
        <w:pStyle w:val="FootnoteText"/>
        <w:spacing w:before="0"/>
        <w:jc w:val="left"/>
        <w:rPr>
          <w:lang w:val="fr-FR"/>
        </w:rPr>
      </w:pPr>
      <w:r>
        <w:rPr>
          <w:rStyle w:val="FootnoteReference"/>
        </w:rPr>
        <w:footnoteRef/>
      </w:r>
      <w:r w:rsidRPr="00495C05">
        <w:rPr>
          <w:lang w:val="fr-FR"/>
        </w:rPr>
        <w:t xml:space="preserve"> </w:t>
      </w:r>
      <w:r>
        <w:rPr>
          <w:lang w:val="fr-FR"/>
        </w:rPr>
        <w:tab/>
      </w:r>
      <w:hyperlink r:id="rId10" w:history="1">
        <w:r w:rsidRPr="00495C05">
          <w:rPr>
            <w:rStyle w:val="Hyperlink"/>
            <w:lang w:val="fr-FR"/>
          </w:rPr>
          <w:t>http://www.portlandgeneral.com/our_company/energy_strategy/resource_planning/docs/irp_nov2009.pdf</w:t>
        </w:r>
      </w:hyperlink>
      <w:r w:rsidRPr="00495C05">
        <w:rPr>
          <w:lang w:val="fr-FR"/>
        </w:rPr>
        <w:t>, p. 43</w:t>
      </w:r>
    </w:p>
  </w:footnote>
  <w:footnote w:id="15">
    <w:p w14:paraId="35771A64" w14:textId="77777777" w:rsidR="004310B0" w:rsidRPr="00495C05" w:rsidRDefault="004310B0" w:rsidP="00EF1D77">
      <w:pPr>
        <w:pStyle w:val="FootnoteText"/>
        <w:spacing w:before="0"/>
        <w:jc w:val="left"/>
        <w:rPr>
          <w:lang w:val="fr-FR"/>
        </w:rPr>
      </w:pPr>
      <w:r>
        <w:rPr>
          <w:rStyle w:val="FootnoteReference"/>
        </w:rPr>
        <w:footnoteRef/>
      </w:r>
      <w:r w:rsidRPr="00495C05">
        <w:rPr>
          <w:lang w:val="fr-FR"/>
        </w:rPr>
        <w:t xml:space="preserve"> </w:t>
      </w:r>
      <w:r>
        <w:rPr>
          <w:lang w:val="fr-FR"/>
        </w:rPr>
        <w:tab/>
      </w:r>
      <w:hyperlink r:id="rId11" w:history="1">
        <w:r w:rsidRPr="00495C05">
          <w:rPr>
            <w:rStyle w:val="Hyperlink"/>
            <w:lang w:val="fr-FR"/>
          </w:rPr>
          <w:t>http://pse.com/aboutpse/EnergySupply/Documents/IRP_2011_chapters.pdf</w:t>
        </w:r>
      </w:hyperlink>
      <w:r w:rsidRPr="00495C05">
        <w:rPr>
          <w:lang w:val="fr-FR"/>
        </w:rPr>
        <w:t>, p. 5-3</w:t>
      </w:r>
    </w:p>
  </w:footnote>
  <w:footnote w:id="16">
    <w:p w14:paraId="65B1DF65" w14:textId="54DD09DA" w:rsidR="004310B0" w:rsidRDefault="004310B0" w:rsidP="00F41D11">
      <w:pPr>
        <w:pStyle w:val="FootnoteText"/>
        <w:spacing w:before="0"/>
        <w:jc w:val="left"/>
      </w:pPr>
      <w:r>
        <w:rPr>
          <w:rStyle w:val="FootnoteReference"/>
        </w:rPr>
        <w:footnoteRef/>
      </w:r>
      <w:r>
        <w:t xml:space="preserve"> </w:t>
      </w:r>
      <w:r>
        <w:tab/>
        <w:t xml:space="preserve">Adapted from </w:t>
      </w:r>
      <w:r>
        <w:rPr>
          <w:lang w:val="en-US"/>
        </w:rPr>
        <w:t xml:space="preserve">Reserves in Capacity Planning – a Northwest Approach, p.13 </w:t>
      </w:r>
      <w:hyperlink r:id="rId12" w:history="1">
        <w:r w:rsidRPr="0026427A">
          <w:rPr>
            <w:rStyle w:val="Hyperlink"/>
            <w:lang w:val="en-US"/>
          </w:rPr>
          <w:t>http://pnucc.org/sites/default/files/ReservesinCapacityPlanningFinal.pdf</w:t>
        </w:r>
      </w:hyperlink>
      <w:r>
        <w:t xml:space="preserve"> </w:t>
      </w:r>
    </w:p>
    <w:p w14:paraId="73D40393" w14:textId="77777777" w:rsidR="004310B0" w:rsidRPr="003E7116" w:rsidRDefault="004310B0" w:rsidP="00EF1D77">
      <w:pPr>
        <w:pStyle w:val="FootnoteText"/>
        <w:jc w:val="left"/>
        <w:rPr>
          <w:lang w:val="en-US"/>
        </w:rPr>
      </w:pPr>
    </w:p>
  </w:footnote>
  <w:footnote w:id="17">
    <w:p w14:paraId="279A0F19" w14:textId="77777777" w:rsidR="004310B0" w:rsidRDefault="004310B0" w:rsidP="00EF1D77">
      <w:pPr>
        <w:pStyle w:val="FootnoteText"/>
        <w:jc w:val="left"/>
        <w:rPr>
          <w:lang w:val="en-US"/>
        </w:rPr>
      </w:pPr>
      <w:r>
        <w:rPr>
          <w:rStyle w:val="FootnoteReference"/>
        </w:rPr>
        <w:footnoteRef/>
      </w:r>
      <w:r>
        <w:t xml:space="preserve"> </w:t>
      </w:r>
      <w:r>
        <w:rPr>
          <w:lang w:val="en-US"/>
        </w:rPr>
        <w:t xml:space="preserve">As of October 1, 2014 the contingency reserve requirement in WECC and the NWPP is changing to 3% of load and 3% of generation: </w:t>
      </w:r>
      <w:r w:rsidRPr="00904736">
        <w:rPr>
          <w:lang w:val="en-US"/>
        </w:rPr>
        <w:t>http://www.wecc.biz/library/Documentation%20Categorization%20Files/Regional%20Standards/BAL-002-WECC-2.pdf</w:t>
      </w:r>
      <w:r>
        <w:rPr>
          <w:lang w:val="en-US"/>
        </w:rPr>
        <w:t xml:space="preserve">. This change has not been incorporated into the current analysis as the differences are immaterial to the values in this analysis.  </w:t>
      </w:r>
    </w:p>
  </w:footnote>
  <w:footnote w:id="18">
    <w:p w14:paraId="5C41ECC0" w14:textId="77777777" w:rsidR="004310B0" w:rsidRPr="001C091A" w:rsidRDefault="004310B0" w:rsidP="00EF1D77">
      <w:pPr>
        <w:pStyle w:val="FootnoteText"/>
        <w:rPr>
          <w:lang w:val="en-US"/>
        </w:rPr>
      </w:pPr>
      <w:r>
        <w:rPr>
          <w:rStyle w:val="FootnoteReference"/>
        </w:rPr>
        <w:footnoteRef/>
      </w:r>
      <w:r>
        <w:t xml:space="preserve"> </w:t>
      </w:r>
      <w:r>
        <w:rPr>
          <w:lang w:val="en-US"/>
        </w:rPr>
        <w:t xml:space="preserve">A probabilistic method to assess power supply adequacy for the Pacific Northwest (Fazio J., 2012) p. 18, </w:t>
      </w:r>
      <w:hyperlink r:id="rId13" w:history="1">
        <w:r w:rsidRPr="0026427A">
          <w:rPr>
            <w:rStyle w:val="Hyperlink"/>
            <w:lang w:val="en-US"/>
          </w:rPr>
          <w:t>http://www.nwcouncil.org/energy/resource/Adequacy%20Standard%20Background%20(2008-07a).pdf</w:t>
        </w:r>
      </w:hyperlink>
      <w:r>
        <w:rPr>
          <w:lang w:val="en-US"/>
        </w:rPr>
        <w:t xml:space="preserve"> </w:t>
      </w:r>
    </w:p>
  </w:footnote>
  <w:footnote w:id="19">
    <w:p w14:paraId="68246434" w14:textId="77777777" w:rsidR="004310B0" w:rsidRPr="005A32BA" w:rsidRDefault="004310B0" w:rsidP="00EF1D77">
      <w:pPr>
        <w:pStyle w:val="FootnoteText"/>
        <w:rPr>
          <w:lang w:val="en-US"/>
        </w:rPr>
      </w:pPr>
      <w:r>
        <w:rPr>
          <w:rStyle w:val="FootnoteReference"/>
        </w:rPr>
        <w:footnoteRef/>
      </w:r>
      <w:r>
        <w:t xml:space="preserve"> </w:t>
      </w:r>
      <w:r>
        <w:tab/>
      </w:r>
      <w:hyperlink r:id="rId14" w:history="1">
        <w:r w:rsidRPr="00323688">
          <w:rPr>
            <w:rStyle w:val="Hyperlink"/>
          </w:rPr>
          <w:t>https://rsvp.rfirst.org/BAL502RFC02/default.aspx</w:t>
        </w:r>
      </w:hyperlink>
      <w:r>
        <w:t xml:space="preserve"> </w:t>
      </w:r>
    </w:p>
  </w:footnote>
  <w:footnote w:id="20">
    <w:p w14:paraId="572512A7" w14:textId="0372E459" w:rsidR="004310B0" w:rsidRPr="003D2EA0" w:rsidRDefault="004310B0" w:rsidP="00EF1D77">
      <w:pPr>
        <w:pStyle w:val="FootnoteText"/>
        <w:rPr>
          <w:lang w:val="en-US"/>
        </w:rPr>
      </w:pPr>
      <w:r>
        <w:rPr>
          <w:rStyle w:val="FootnoteReference"/>
        </w:rPr>
        <w:footnoteRef/>
      </w:r>
      <w:r>
        <w:t xml:space="preserve"> </w:t>
      </w:r>
      <w:r>
        <w:rPr>
          <w:lang w:val="en-US"/>
        </w:rPr>
        <w:t>A forced outage is an unplanned/unexpected shutdown of a generating unit or an unexpected failure to start. Forced outage rate is the proportion of time the unit is on forced outage to its total service time.</w:t>
      </w:r>
    </w:p>
  </w:footnote>
  <w:footnote w:id="21">
    <w:p w14:paraId="444982DC" w14:textId="77777777" w:rsidR="004310B0" w:rsidRPr="008B0E65" w:rsidRDefault="004310B0" w:rsidP="00EF1D77">
      <w:pPr>
        <w:pStyle w:val="FootnoteText"/>
        <w:rPr>
          <w:lang w:val="en-US"/>
        </w:rPr>
      </w:pPr>
      <w:r>
        <w:rPr>
          <w:rStyle w:val="FootnoteReference"/>
        </w:rPr>
        <w:footnoteRef/>
      </w:r>
      <w:r>
        <w:t xml:space="preserve"> </w:t>
      </w:r>
      <w:r>
        <w:rPr>
          <w:lang w:val="en-US"/>
        </w:rPr>
        <w:t>Unit contingent sales are sales that require a particular unit to be available to support the sale.  In this case, WAX.</w:t>
      </w:r>
    </w:p>
  </w:footnote>
  <w:footnote w:id="22">
    <w:p w14:paraId="5060389C" w14:textId="4CD81FF9" w:rsidR="004310B0" w:rsidRPr="00B15212" w:rsidRDefault="004310B0">
      <w:pPr>
        <w:pStyle w:val="FootnoteText"/>
        <w:rPr>
          <w:lang w:val="en-US"/>
        </w:rPr>
      </w:pPr>
      <w:r>
        <w:rPr>
          <w:rStyle w:val="FootnoteReference"/>
        </w:rPr>
        <w:footnoteRef/>
      </w:r>
      <w:r>
        <w:t xml:space="preserve"> </w:t>
      </w:r>
      <w:r>
        <w:rPr>
          <w:lang w:val="en-US"/>
        </w:rPr>
        <w:t>The size of this surplus block is capped at 75 MW from 2015 to 2019, 50 MW from 2020-2024, 25 MW from 2025-2029 and zero thereafter.</w:t>
      </w:r>
    </w:p>
  </w:footnote>
  <w:footnote w:id="23">
    <w:p w14:paraId="532E04DE" w14:textId="77777777" w:rsidR="004310B0" w:rsidRPr="009171E8" w:rsidRDefault="004310B0" w:rsidP="00EF1D77">
      <w:pPr>
        <w:pStyle w:val="FootnoteText"/>
        <w:rPr>
          <w:lang w:val="en-US"/>
        </w:rPr>
      </w:pPr>
      <w:r>
        <w:rPr>
          <w:rStyle w:val="FootnoteReference"/>
        </w:rPr>
        <w:footnoteRef/>
      </w:r>
      <w:r>
        <w:t xml:space="preserve"> </w:t>
      </w:r>
      <w:r>
        <w:tab/>
      </w:r>
      <w:hyperlink r:id="rId15" w:history="1">
        <w:r w:rsidRPr="00403B08">
          <w:rPr>
            <w:rStyle w:val="Hyperlink"/>
          </w:rPr>
          <w:t>http://www.nerc.com/files/2011LTRA_Final.pdf</w:t>
        </w:r>
      </w:hyperlink>
      <w:r>
        <w:t xml:space="preserve"> </w:t>
      </w:r>
    </w:p>
  </w:footnote>
  <w:footnote w:id="24">
    <w:p w14:paraId="277D9569" w14:textId="77777777" w:rsidR="004310B0" w:rsidRPr="0091256A" w:rsidRDefault="004310B0" w:rsidP="00EF1D77">
      <w:pPr>
        <w:pStyle w:val="FootnoteText"/>
        <w:rPr>
          <w:lang w:val="en-US"/>
        </w:rPr>
      </w:pPr>
      <w:r>
        <w:rPr>
          <w:rStyle w:val="FootnoteReference"/>
        </w:rPr>
        <w:footnoteRef/>
      </w:r>
      <w:r>
        <w:t xml:space="preserve"> </w:t>
      </w:r>
      <w:r>
        <w:tab/>
      </w:r>
      <w:hyperlink r:id="rId16" w:history="1">
        <w:r w:rsidRPr="0026427A">
          <w:rPr>
            <w:rStyle w:val="Hyperlink"/>
          </w:rPr>
          <w:t>http://www.nwpp.org/</w:t>
        </w:r>
      </w:hyperlink>
      <w:r>
        <w:t>. FBC and BCH are NWPP’s Canadian members.</w:t>
      </w:r>
    </w:p>
  </w:footnote>
  <w:footnote w:id="25">
    <w:p w14:paraId="17D9B20B" w14:textId="77777777" w:rsidR="004310B0" w:rsidRPr="00971754" w:rsidRDefault="004310B0" w:rsidP="00EF1D77">
      <w:pPr>
        <w:pStyle w:val="FootnoteText"/>
        <w:rPr>
          <w:lang w:val="en-US"/>
        </w:rPr>
      </w:pPr>
      <w:r>
        <w:rPr>
          <w:rStyle w:val="FootnoteReference"/>
        </w:rPr>
        <w:footnoteRef/>
      </w:r>
      <w:r>
        <w:t xml:space="preserve"> </w:t>
      </w:r>
      <w:hyperlink r:id="rId17" w:history="1">
        <w:r w:rsidRPr="00403B08">
          <w:rPr>
            <w:rStyle w:val="Hyperlink"/>
          </w:rPr>
          <w:t>http://www.nerc.com/files/2012_ProbA.pdf</w:t>
        </w:r>
      </w:hyperlink>
      <w:r>
        <w:t>, p.15</w:t>
      </w:r>
    </w:p>
  </w:footnote>
  <w:footnote w:id="26">
    <w:p w14:paraId="0AB528D1" w14:textId="43D0CFF8" w:rsidR="004310B0" w:rsidRPr="00684E33" w:rsidRDefault="004310B0">
      <w:pPr>
        <w:pStyle w:val="FootnoteText"/>
        <w:rPr>
          <w:lang w:val="en-US"/>
        </w:rPr>
      </w:pPr>
      <w:r>
        <w:rPr>
          <w:rStyle w:val="FootnoteReference"/>
        </w:rPr>
        <w:footnoteRef/>
      </w:r>
      <w:r>
        <w:t xml:space="preserve"> </w:t>
      </w:r>
      <w:r>
        <w:rPr>
          <w:lang w:val="en-US"/>
        </w:rPr>
        <w:t>Its PRM values (%) are shown in the Conclusion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FFBC2" w14:textId="77777777" w:rsidR="004310B0" w:rsidRPr="00CC521A" w:rsidRDefault="004310B0" w:rsidP="004602D8">
    <w:pPr>
      <w:spacing w:after="0" w:line="240" w:lineRule="auto"/>
      <w:jc w:val="right"/>
      <w:rPr>
        <w:rFonts w:ascii="Times New Roman" w:hAnsi="Times New Roman"/>
        <w:smallCaps/>
        <w:sz w:val="20"/>
        <w:highlight w:val="yellow"/>
        <w:u w:val="single"/>
      </w:rPr>
    </w:pPr>
    <w:r w:rsidRPr="002A73AB">
      <w:rPr>
        <w:noProof/>
        <w:lang w:eastAsia="en-CA"/>
      </w:rPr>
      <w:drawing>
        <wp:anchor distT="0" distB="0" distL="114300" distR="114300" simplePos="0" relativeHeight="251651072" behindDoc="1" locked="0" layoutInCell="1" allowOverlap="1" wp14:anchorId="46BE13D0" wp14:editId="050AF732">
          <wp:simplePos x="0" y="0"/>
          <wp:positionH relativeFrom="column">
            <wp:posOffset>4391025</wp:posOffset>
          </wp:positionH>
          <wp:positionV relativeFrom="paragraph">
            <wp:posOffset>-19050</wp:posOffset>
          </wp:positionV>
          <wp:extent cx="1676400" cy="567929"/>
          <wp:effectExtent l="0" t="0" r="0" b="0"/>
          <wp:wrapNone/>
          <wp:docPr id="11" name="Picture 3" descr="http://pipeline.myterasen.com/NR/rdonlyres/e4cjooyow6qlkz3kxvnjg2v5antbk2uik4356u3jwl3ymrftfj7wfw6lukr5ij2oopid7otu65dk2qaw3mbz7bxxpef/terasen_gas_logo_2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peline.myterasen.com/NR/rdonlyres/e4cjooyow6qlkz3kxvnjg2v5antbk2uik4356u3jwl3ymrftfj7wfw6lukr5ij2oopid7otu65dk2qaw3mbz7bxxpef/terasen_gas_logo_2colour.gif"/>
                  <pic:cNvPicPr>
                    <a:picLocks noChangeAspect="1" noChangeArrowheads="1"/>
                  </pic:cNvPicPr>
                </pic:nvPicPr>
                <pic:blipFill>
                  <a:blip r:embed="rId1"/>
                  <a:stretch>
                    <a:fillRect/>
                  </a:stretch>
                </pic:blipFill>
                <pic:spPr bwMode="auto">
                  <a:xfrm>
                    <a:off x="0" y="0"/>
                    <a:ext cx="1676400" cy="567929"/>
                  </a:xfrm>
                  <a:prstGeom prst="rect">
                    <a:avLst/>
                  </a:prstGeom>
                  <a:noFill/>
                  <a:ln w="9525">
                    <a:noFill/>
                    <a:miter lim="800000"/>
                    <a:headEnd/>
                    <a:tailEnd/>
                  </a:ln>
                </pic:spPr>
              </pic:pic>
            </a:graphicData>
          </a:graphic>
        </wp:anchor>
      </w:drawing>
    </w:r>
  </w:p>
  <w:p w14:paraId="4FB9F7F3" w14:textId="77777777" w:rsidR="004310B0" w:rsidRPr="00B33860" w:rsidRDefault="004310B0" w:rsidP="004602D8">
    <w:pPr>
      <w:pStyle w:val="HeaderLine1"/>
      <w:spacing w:after="0" w:line="240" w:lineRule="auto"/>
    </w:pPr>
    <w:r w:rsidRPr="005A70EC">
      <w:t>FortisBC Inc.</w:t>
    </w:r>
  </w:p>
  <w:p w14:paraId="2C6A0124" w14:textId="7672C2C6" w:rsidR="004310B0" w:rsidRPr="002A7EC3" w:rsidRDefault="004310B0" w:rsidP="004602D8">
    <w:pPr>
      <w:pStyle w:val="HeaderLine2"/>
      <w:spacing w:after="0" w:line="240" w:lineRule="auto"/>
    </w:pPr>
    <w:r>
      <w:t xml:space="preserve">Planning Reserve Margin Report </w:t>
    </w:r>
  </w:p>
  <w:p w14:paraId="79BA9013" w14:textId="77777777" w:rsidR="004310B0" w:rsidRDefault="004310B0" w:rsidP="004602D8">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5A3CBD" w14:textId="77777777" w:rsidR="004310B0" w:rsidRPr="00CC521A" w:rsidRDefault="004310B0" w:rsidP="004602D8">
    <w:pPr>
      <w:spacing w:after="0" w:line="240" w:lineRule="auto"/>
      <w:jc w:val="right"/>
      <w:rPr>
        <w:rFonts w:ascii="Times New Roman" w:hAnsi="Times New Roman"/>
        <w:smallCaps/>
        <w:sz w:val="20"/>
        <w:highlight w:val="yellow"/>
        <w:u w:val="single"/>
      </w:rPr>
    </w:pPr>
    <w:r w:rsidRPr="002A73AB">
      <w:rPr>
        <w:noProof/>
        <w:lang w:eastAsia="en-CA"/>
      </w:rPr>
      <w:drawing>
        <wp:anchor distT="0" distB="0" distL="114300" distR="114300" simplePos="0" relativeHeight="251653120" behindDoc="1" locked="0" layoutInCell="1" allowOverlap="1" wp14:anchorId="56A74B98" wp14:editId="5ADC55BF">
          <wp:simplePos x="0" y="0"/>
          <wp:positionH relativeFrom="column">
            <wp:posOffset>4391025</wp:posOffset>
          </wp:positionH>
          <wp:positionV relativeFrom="paragraph">
            <wp:posOffset>-19050</wp:posOffset>
          </wp:positionV>
          <wp:extent cx="1676400" cy="567929"/>
          <wp:effectExtent l="0" t="0" r="0" b="0"/>
          <wp:wrapNone/>
          <wp:docPr id="12" name="Picture 3" descr="http://pipeline.myterasen.com/NR/rdonlyres/e4cjooyow6qlkz3kxvnjg2v5antbk2uik4356u3jwl3ymrftfj7wfw6lukr5ij2oopid7otu65dk2qaw3mbz7bxxpef/terasen_gas_logo_2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peline.myterasen.com/NR/rdonlyres/e4cjooyow6qlkz3kxvnjg2v5antbk2uik4356u3jwl3ymrftfj7wfw6lukr5ij2oopid7otu65dk2qaw3mbz7bxxpef/terasen_gas_logo_2colour.gif"/>
                  <pic:cNvPicPr>
                    <a:picLocks noChangeAspect="1" noChangeArrowheads="1"/>
                  </pic:cNvPicPr>
                </pic:nvPicPr>
                <pic:blipFill>
                  <a:blip r:embed="rId1"/>
                  <a:stretch>
                    <a:fillRect/>
                  </a:stretch>
                </pic:blipFill>
                <pic:spPr bwMode="auto">
                  <a:xfrm>
                    <a:off x="0" y="0"/>
                    <a:ext cx="1676400" cy="567929"/>
                  </a:xfrm>
                  <a:prstGeom prst="rect">
                    <a:avLst/>
                  </a:prstGeom>
                  <a:noFill/>
                  <a:ln w="9525">
                    <a:noFill/>
                    <a:miter lim="800000"/>
                    <a:headEnd/>
                    <a:tailEnd/>
                  </a:ln>
                </pic:spPr>
              </pic:pic>
            </a:graphicData>
          </a:graphic>
        </wp:anchor>
      </w:drawing>
    </w:r>
  </w:p>
  <w:p w14:paraId="0FD90072" w14:textId="77777777" w:rsidR="004310B0" w:rsidRPr="00B33860" w:rsidRDefault="004310B0" w:rsidP="004602D8">
    <w:pPr>
      <w:pStyle w:val="HeaderLine1"/>
      <w:spacing w:after="0" w:line="240" w:lineRule="auto"/>
    </w:pPr>
    <w:r w:rsidRPr="005A70EC">
      <w:t>FortisBC Inc.</w:t>
    </w:r>
  </w:p>
  <w:p w14:paraId="12F2CA77" w14:textId="4D50B197" w:rsidR="004310B0" w:rsidRPr="002A7EC3" w:rsidRDefault="004310B0" w:rsidP="004602D8">
    <w:pPr>
      <w:pStyle w:val="HeaderLine2"/>
      <w:spacing w:after="0" w:line="240" w:lineRule="auto"/>
    </w:pPr>
    <w:r>
      <w:t>appendix A - an example of capacity outage probability table</w:t>
    </w:r>
  </w:p>
  <w:p w14:paraId="074E01CA" w14:textId="77777777" w:rsidR="004310B0" w:rsidRDefault="004310B0" w:rsidP="004602D8">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96C0A" w14:textId="77777777" w:rsidR="004310B0" w:rsidRPr="00CC521A" w:rsidRDefault="004310B0" w:rsidP="004602D8">
    <w:pPr>
      <w:spacing w:after="0" w:line="240" w:lineRule="auto"/>
      <w:jc w:val="right"/>
      <w:rPr>
        <w:rFonts w:ascii="Times New Roman" w:hAnsi="Times New Roman"/>
        <w:smallCaps/>
        <w:sz w:val="20"/>
        <w:highlight w:val="yellow"/>
        <w:u w:val="single"/>
      </w:rPr>
    </w:pPr>
    <w:r w:rsidRPr="002A73AB">
      <w:rPr>
        <w:noProof/>
        <w:lang w:eastAsia="en-CA"/>
      </w:rPr>
      <w:drawing>
        <wp:anchor distT="0" distB="0" distL="114300" distR="114300" simplePos="0" relativeHeight="251655168" behindDoc="1" locked="0" layoutInCell="1" allowOverlap="1" wp14:anchorId="499BCCCD" wp14:editId="790CA072">
          <wp:simplePos x="0" y="0"/>
          <wp:positionH relativeFrom="column">
            <wp:posOffset>4391025</wp:posOffset>
          </wp:positionH>
          <wp:positionV relativeFrom="paragraph">
            <wp:posOffset>-19050</wp:posOffset>
          </wp:positionV>
          <wp:extent cx="1676400" cy="567929"/>
          <wp:effectExtent l="0" t="0" r="0" b="0"/>
          <wp:wrapNone/>
          <wp:docPr id="3" name="Picture 3" descr="http://pipeline.myterasen.com/NR/rdonlyres/e4cjooyow6qlkz3kxvnjg2v5antbk2uik4356u3jwl3ymrftfj7wfw6lukr5ij2oopid7otu65dk2qaw3mbz7bxxpef/terasen_gas_logo_2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peline.myterasen.com/NR/rdonlyres/e4cjooyow6qlkz3kxvnjg2v5antbk2uik4356u3jwl3ymrftfj7wfw6lukr5ij2oopid7otu65dk2qaw3mbz7bxxpef/terasen_gas_logo_2colour.gif"/>
                  <pic:cNvPicPr>
                    <a:picLocks noChangeAspect="1" noChangeArrowheads="1"/>
                  </pic:cNvPicPr>
                </pic:nvPicPr>
                <pic:blipFill>
                  <a:blip r:embed="rId1"/>
                  <a:stretch>
                    <a:fillRect/>
                  </a:stretch>
                </pic:blipFill>
                <pic:spPr bwMode="auto">
                  <a:xfrm>
                    <a:off x="0" y="0"/>
                    <a:ext cx="1676400" cy="567929"/>
                  </a:xfrm>
                  <a:prstGeom prst="rect">
                    <a:avLst/>
                  </a:prstGeom>
                  <a:noFill/>
                  <a:ln w="9525">
                    <a:noFill/>
                    <a:miter lim="800000"/>
                    <a:headEnd/>
                    <a:tailEnd/>
                  </a:ln>
                </pic:spPr>
              </pic:pic>
            </a:graphicData>
          </a:graphic>
        </wp:anchor>
      </w:drawing>
    </w:r>
  </w:p>
  <w:p w14:paraId="4272B47E" w14:textId="77777777" w:rsidR="004310B0" w:rsidRPr="00B33860" w:rsidRDefault="004310B0" w:rsidP="004602D8">
    <w:pPr>
      <w:pStyle w:val="HeaderLine1"/>
      <w:spacing w:after="0" w:line="240" w:lineRule="auto"/>
    </w:pPr>
    <w:r w:rsidRPr="005A70EC">
      <w:t>FortisBC Inc.</w:t>
    </w:r>
  </w:p>
  <w:p w14:paraId="45831F2A" w14:textId="1F8677D0" w:rsidR="004310B0" w:rsidRPr="002A7EC3" w:rsidRDefault="004310B0" w:rsidP="004602D8">
    <w:pPr>
      <w:pStyle w:val="HeaderLine2"/>
      <w:spacing w:after="0" w:line="240" w:lineRule="auto"/>
    </w:pPr>
    <w:r>
      <w:t xml:space="preserve">appendix B - </w:t>
    </w:r>
    <w:r w:rsidRPr="00DE0F07">
      <w:t>Capacity Resources</w:t>
    </w:r>
  </w:p>
  <w:p w14:paraId="524F5C7B" w14:textId="77777777" w:rsidR="004310B0" w:rsidRDefault="004310B0" w:rsidP="004602D8">
    <w:pPr>
      <w:spacing w:after="0" w:line="240" w:lineRule="aut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1E2E" w14:textId="77777777" w:rsidR="004310B0" w:rsidRPr="00CC521A" w:rsidRDefault="004310B0" w:rsidP="004310B0">
    <w:pPr>
      <w:spacing w:after="0" w:line="240" w:lineRule="auto"/>
      <w:jc w:val="right"/>
      <w:rPr>
        <w:rFonts w:ascii="Times New Roman" w:hAnsi="Times New Roman"/>
        <w:smallCaps/>
        <w:sz w:val="20"/>
        <w:highlight w:val="yellow"/>
        <w:u w:val="single"/>
      </w:rPr>
    </w:pPr>
    <w:r w:rsidRPr="00245C44">
      <w:rPr>
        <w:noProof/>
        <w:lang w:eastAsia="en-CA"/>
      </w:rPr>
      <w:drawing>
        <wp:anchor distT="0" distB="0" distL="114300" distR="114300" simplePos="0" relativeHeight="251657216" behindDoc="1" locked="0" layoutInCell="1" allowOverlap="1" wp14:anchorId="27FC7BE4" wp14:editId="1C2991CD">
          <wp:simplePos x="0" y="0"/>
          <wp:positionH relativeFrom="column">
            <wp:posOffset>4381500</wp:posOffset>
          </wp:positionH>
          <wp:positionV relativeFrom="paragraph">
            <wp:posOffset>-123945</wp:posOffset>
          </wp:positionV>
          <wp:extent cx="1676400" cy="567929"/>
          <wp:effectExtent l="0" t="0" r="0" b="0"/>
          <wp:wrapNone/>
          <wp:docPr id="17" name="Picture 3" descr="http://pipeline.myterasen.com/NR/rdonlyres/e4cjooyow6qlkz3kxvnjg2v5antbk2uik4356u3jwl3ymrftfj7wfw6lukr5ij2oopid7otu65dk2qaw3mbz7bxxpef/terasen_gas_logo_2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peline.myterasen.com/NR/rdonlyres/e4cjooyow6qlkz3kxvnjg2v5antbk2uik4356u3jwl3ymrftfj7wfw6lukr5ij2oopid7otu65dk2qaw3mbz7bxxpef/terasen_gas_logo_2colour.gif"/>
                  <pic:cNvPicPr>
                    <a:picLocks noChangeAspect="1" noChangeArrowheads="1"/>
                  </pic:cNvPicPr>
                </pic:nvPicPr>
                <pic:blipFill>
                  <a:blip r:embed="rId1"/>
                  <a:stretch>
                    <a:fillRect/>
                  </a:stretch>
                </pic:blipFill>
                <pic:spPr bwMode="auto">
                  <a:xfrm>
                    <a:off x="0" y="0"/>
                    <a:ext cx="1676400" cy="567929"/>
                  </a:xfrm>
                  <a:prstGeom prst="rect">
                    <a:avLst/>
                  </a:prstGeom>
                  <a:noFill/>
                  <a:ln w="9525">
                    <a:noFill/>
                    <a:miter lim="800000"/>
                    <a:headEnd/>
                    <a:tailEnd/>
                  </a:ln>
                </pic:spPr>
              </pic:pic>
            </a:graphicData>
          </a:graphic>
        </wp:anchor>
      </w:drawing>
    </w:r>
  </w:p>
  <w:p w14:paraId="43996F20" w14:textId="77777777" w:rsidR="004310B0" w:rsidRPr="00685DBF" w:rsidRDefault="004310B0" w:rsidP="004310B0">
    <w:pPr>
      <w:spacing w:after="0" w:line="240" w:lineRule="auto"/>
    </w:pPr>
    <w:r w:rsidRPr="00D16F57">
      <w:t>FortisBC Inc.</w:t>
    </w:r>
  </w:p>
  <w:p w14:paraId="0056AAD8" w14:textId="31403A75" w:rsidR="004310B0" w:rsidRPr="002A7EC3" w:rsidRDefault="004310B0" w:rsidP="00DE0F07">
    <w:pPr>
      <w:pStyle w:val="HeaderLine2"/>
      <w:spacing w:after="0" w:line="240" w:lineRule="auto"/>
    </w:pPr>
    <w:r>
      <w:t>appendix C – peak forecasts</w:t>
    </w:r>
  </w:p>
  <w:p w14:paraId="3C08EC8A" w14:textId="77777777" w:rsidR="004310B0" w:rsidRDefault="004310B0" w:rsidP="004310B0">
    <w:pPr>
      <w:spacing w:after="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23C0B0" w14:textId="77777777" w:rsidR="004310B0" w:rsidRPr="00CC521A" w:rsidRDefault="004310B0" w:rsidP="004310B0">
    <w:pPr>
      <w:spacing w:after="0" w:line="240" w:lineRule="auto"/>
      <w:jc w:val="right"/>
      <w:rPr>
        <w:rFonts w:ascii="Times New Roman" w:hAnsi="Times New Roman"/>
        <w:smallCaps/>
        <w:sz w:val="20"/>
        <w:highlight w:val="yellow"/>
        <w:u w:val="single"/>
      </w:rPr>
    </w:pPr>
    <w:r w:rsidRPr="00245C44">
      <w:rPr>
        <w:noProof/>
        <w:lang w:eastAsia="en-CA"/>
      </w:rPr>
      <w:drawing>
        <wp:anchor distT="0" distB="0" distL="114300" distR="114300" simplePos="0" relativeHeight="251659264" behindDoc="1" locked="0" layoutInCell="1" allowOverlap="1" wp14:anchorId="5C798A73" wp14:editId="3DC148B3">
          <wp:simplePos x="0" y="0"/>
          <wp:positionH relativeFrom="column">
            <wp:posOffset>4381500</wp:posOffset>
          </wp:positionH>
          <wp:positionV relativeFrom="paragraph">
            <wp:posOffset>-123945</wp:posOffset>
          </wp:positionV>
          <wp:extent cx="1676400" cy="567929"/>
          <wp:effectExtent l="0" t="0" r="0" b="0"/>
          <wp:wrapNone/>
          <wp:docPr id="22" name="Picture 3" descr="http://pipeline.myterasen.com/NR/rdonlyres/e4cjooyow6qlkz3kxvnjg2v5antbk2uik4356u3jwl3ymrftfj7wfw6lukr5ij2oopid7otu65dk2qaw3mbz7bxxpef/terasen_gas_logo_2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peline.myterasen.com/NR/rdonlyres/e4cjooyow6qlkz3kxvnjg2v5antbk2uik4356u3jwl3ymrftfj7wfw6lukr5ij2oopid7otu65dk2qaw3mbz7bxxpef/terasen_gas_logo_2colour.gif"/>
                  <pic:cNvPicPr>
                    <a:picLocks noChangeAspect="1" noChangeArrowheads="1"/>
                  </pic:cNvPicPr>
                </pic:nvPicPr>
                <pic:blipFill>
                  <a:blip r:embed="rId1"/>
                  <a:stretch>
                    <a:fillRect/>
                  </a:stretch>
                </pic:blipFill>
                <pic:spPr bwMode="auto">
                  <a:xfrm>
                    <a:off x="0" y="0"/>
                    <a:ext cx="1676400" cy="567929"/>
                  </a:xfrm>
                  <a:prstGeom prst="rect">
                    <a:avLst/>
                  </a:prstGeom>
                  <a:noFill/>
                  <a:ln w="9525">
                    <a:noFill/>
                    <a:miter lim="800000"/>
                    <a:headEnd/>
                    <a:tailEnd/>
                  </a:ln>
                </pic:spPr>
              </pic:pic>
            </a:graphicData>
          </a:graphic>
        </wp:anchor>
      </w:drawing>
    </w:r>
  </w:p>
  <w:p w14:paraId="08A40086" w14:textId="77777777" w:rsidR="004310B0" w:rsidRPr="00685DBF" w:rsidRDefault="004310B0" w:rsidP="004310B0">
    <w:pPr>
      <w:spacing w:after="0" w:line="240" w:lineRule="auto"/>
    </w:pPr>
    <w:r w:rsidRPr="00D16F57">
      <w:t>FortisBC Inc.</w:t>
    </w:r>
  </w:p>
  <w:p w14:paraId="231FD7F3" w14:textId="6EA72EF4" w:rsidR="004310B0" w:rsidRPr="002A7EC3" w:rsidRDefault="004310B0" w:rsidP="009B38FB">
    <w:pPr>
      <w:pStyle w:val="HeaderLine2"/>
      <w:spacing w:after="0" w:line="240" w:lineRule="auto"/>
    </w:pPr>
    <w:r>
      <w:t>appendix D – capacity gaps</w:t>
    </w:r>
  </w:p>
  <w:p w14:paraId="3135CF48" w14:textId="77777777" w:rsidR="004310B0" w:rsidRDefault="004310B0" w:rsidP="004310B0">
    <w:pPr>
      <w:spacing w:after="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420E5" w14:textId="77777777" w:rsidR="004310B0" w:rsidRPr="00CC521A" w:rsidRDefault="004310B0" w:rsidP="004310B0">
    <w:pPr>
      <w:spacing w:after="0" w:line="240" w:lineRule="auto"/>
      <w:jc w:val="right"/>
      <w:rPr>
        <w:rFonts w:ascii="Times New Roman" w:hAnsi="Times New Roman"/>
        <w:smallCaps/>
        <w:sz w:val="20"/>
        <w:highlight w:val="yellow"/>
        <w:u w:val="single"/>
      </w:rPr>
    </w:pPr>
    <w:r w:rsidRPr="00245C44">
      <w:rPr>
        <w:noProof/>
        <w:lang w:eastAsia="en-CA"/>
      </w:rPr>
      <w:drawing>
        <wp:anchor distT="0" distB="0" distL="114300" distR="114300" simplePos="0" relativeHeight="251661312" behindDoc="1" locked="0" layoutInCell="1" allowOverlap="1" wp14:anchorId="1016B83E" wp14:editId="52A6D83F">
          <wp:simplePos x="0" y="0"/>
          <wp:positionH relativeFrom="column">
            <wp:posOffset>4381500</wp:posOffset>
          </wp:positionH>
          <wp:positionV relativeFrom="paragraph">
            <wp:posOffset>-123945</wp:posOffset>
          </wp:positionV>
          <wp:extent cx="1676400" cy="567929"/>
          <wp:effectExtent l="0" t="0" r="0" b="0"/>
          <wp:wrapNone/>
          <wp:docPr id="26" name="Picture 3" descr="http://pipeline.myterasen.com/NR/rdonlyres/e4cjooyow6qlkz3kxvnjg2v5antbk2uik4356u3jwl3ymrftfj7wfw6lukr5ij2oopid7otu65dk2qaw3mbz7bxxpef/terasen_gas_logo_2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peline.myterasen.com/NR/rdonlyres/e4cjooyow6qlkz3kxvnjg2v5antbk2uik4356u3jwl3ymrftfj7wfw6lukr5ij2oopid7otu65dk2qaw3mbz7bxxpef/terasen_gas_logo_2colour.gif"/>
                  <pic:cNvPicPr>
                    <a:picLocks noChangeAspect="1" noChangeArrowheads="1"/>
                  </pic:cNvPicPr>
                </pic:nvPicPr>
                <pic:blipFill>
                  <a:blip r:embed="rId1"/>
                  <a:stretch>
                    <a:fillRect/>
                  </a:stretch>
                </pic:blipFill>
                <pic:spPr bwMode="auto">
                  <a:xfrm>
                    <a:off x="0" y="0"/>
                    <a:ext cx="1676400" cy="567929"/>
                  </a:xfrm>
                  <a:prstGeom prst="rect">
                    <a:avLst/>
                  </a:prstGeom>
                  <a:noFill/>
                  <a:ln w="9525">
                    <a:noFill/>
                    <a:miter lim="800000"/>
                    <a:headEnd/>
                    <a:tailEnd/>
                  </a:ln>
                </pic:spPr>
              </pic:pic>
            </a:graphicData>
          </a:graphic>
        </wp:anchor>
      </w:drawing>
    </w:r>
  </w:p>
  <w:p w14:paraId="792EC808" w14:textId="77777777" w:rsidR="004310B0" w:rsidRPr="00685DBF" w:rsidRDefault="004310B0" w:rsidP="004310B0">
    <w:pPr>
      <w:pStyle w:val="HeaderLine1"/>
      <w:spacing w:after="0" w:line="240" w:lineRule="auto"/>
    </w:pPr>
    <w:r w:rsidRPr="00D16F57">
      <w:t>FortisBC Inc.</w:t>
    </w:r>
  </w:p>
  <w:p w14:paraId="12BCC8C1" w14:textId="77777777" w:rsidR="004310B0" w:rsidRPr="00A63F6F" w:rsidRDefault="004310B0" w:rsidP="004310B0">
    <w:pPr>
      <w:pStyle w:val="HeaderLine2"/>
      <w:spacing w:after="0" w:line="240" w:lineRule="auto"/>
    </w:pPr>
    <w:r>
      <w:t>Appendix E – Monte-Carlo Simulation Results</w:t>
    </w:r>
  </w:p>
  <w:p w14:paraId="6F6E52AD" w14:textId="77777777" w:rsidR="004310B0" w:rsidRDefault="004310B0" w:rsidP="004310B0">
    <w:pPr>
      <w:spacing w:after="0" w:line="240" w:lineRule="auto"/>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EC0DA" w14:textId="77777777" w:rsidR="004310B0" w:rsidRPr="00CC521A" w:rsidRDefault="004310B0" w:rsidP="004310B0">
    <w:pPr>
      <w:spacing w:after="0" w:line="240" w:lineRule="auto"/>
      <w:jc w:val="right"/>
      <w:rPr>
        <w:rFonts w:ascii="Times New Roman" w:hAnsi="Times New Roman"/>
        <w:smallCaps/>
        <w:sz w:val="20"/>
        <w:highlight w:val="yellow"/>
        <w:u w:val="single"/>
      </w:rPr>
    </w:pPr>
    <w:r w:rsidRPr="00245C44">
      <w:rPr>
        <w:noProof/>
        <w:lang w:eastAsia="en-CA"/>
      </w:rPr>
      <w:drawing>
        <wp:anchor distT="0" distB="0" distL="114300" distR="114300" simplePos="0" relativeHeight="251663360" behindDoc="1" locked="0" layoutInCell="1" allowOverlap="1" wp14:anchorId="0865B412" wp14:editId="40B9D31E">
          <wp:simplePos x="0" y="0"/>
          <wp:positionH relativeFrom="column">
            <wp:posOffset>4381500</wp:posOffset>
          </wp:positionH>
          <wp:positionV relativeFrom="paragraph">
            <wp:posOffset>-123945</wp:posOffset>
          </wp:positionV>
          <wp:extent cx="1676400" cy="567929"/>
          <wp:effectExtent l="0" t="0" r="0" b="0"/>
          <wp:wrapNone/>
          <wp:docPr id="28" name="Picture 3" descr="http://pipeline.myterasen.com/NR/rdonlyres/e4cjooyow6qlkz3kxvnjg2v5antbk2uik4356u3jwl3ymrftfj7wfw6lukr5ij2oopid7otu65dk2qaw3mbz7bxxpef/terasen_gas_logo_2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peline.myterasen.com/NR/rdonlyres/e4cjooyow6qlkz3kxvnjg2v5antbk2uik4356u3jwl3ymrftfj7wfw6lukr5ij2oopid7otu65dk2qaw3mbz7bxxpef/terasen_gas_logo_2colour.gif"/>
                  <pic:cNvPicPr>
                    <a:picLocks noChangeAspect="1" noChangeArrowheads="1"/>
                  </pic:cNvPicPr>
                </pic:nvPicPr>
                <pic:blipFill>
                  <a:blip r:embed="rId1"/>
                  <a:stretch>
                    <a:fillRect/>
                  </a:stretch>
                </pic:blipFill>
                <pic:spPr bwMode="auto">
                  <a:xfrm>
                    <a:off x="0" y="0"/>
                    <a:ext cx="1676400" cy="567929"/>
                  </a:xfrm>
                  <a:prstGeom prst="rect">
                    <a:avLst/>
                  </a:prstGeom>
                  <a:noFill/>
                  <a:ln w="9525">
                    <a:noFill/>
                    <a:miter lim="800000"/>
                    <a:headEnd/>
                    <a:tailEnd/>
                  </a:ln>
                </pic:spPr>
              </pic:pic>
            </a:graphicData>
          </a:graphic>
        </wp:anchor>
      </w:drawing>
    </w:r>
  </w:p>
  <w:p w14:paraId="724915FA" w14:textId="77777777" w:rsidR="004310B0" w:rsidRPr="00685DBF" w:rsidRDefault="004310B0" w:rsidP="004310B0">
    <w:pPr>
      <w:pStyle w:val="HeaderLine1"/>
      <w:spacing w:after="0" w:line="240" w:lineRule="auto"/>
    </w:pPr>
    <w:r w:rsidRPr="00D16F57">
      <w:t>FortisBC Inc.</w:t>
    </w:r>
  </w:p>
  <w:p w14:paraId="78DD0D28" w14:textId="77777777" w:rsidR="004310B0" w:rsidRPr="00A63F6F" w:rsidRDefault="004310B0" w:rsidP="004310B0">
    <w:pPr>
      <w:pStyle w:val="HeaderLine2"/>
      <w:spacing w:after="0" w:line="240" w:lineRule="auto"/>
    </w:pPr>
    <w:r>
      <w:t>Appendix F – Comparison Between FBC and BCH Approaches for PRM</w:t>
    </w:r>
  </w:p>
  <w:p w14:paraId="534EA2C1" w14:textId="77777777" w:rsidR="004310B0" w:rsidRDefault="004310B0" w:rsidP="004310B0">
    <w:pPr>
      <w:spacing w:after="0" w:line="240" w:lineRule="aut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A824D" w14:textId="77777777" w:rsidR="004310B0" w:rsidRPr="00CC521A" w:rsidRDefault="004310B0" w:rsidP="004310B0">
    <w:pPr>
      <w:spacing w:after="0" w:line="240" w:lineRule="auto"/>
      <w:jc w:val="right"/>
      <w:rPr>
        <w:rFonts w:ascii="Times New Roman" w:hAnsi="Times New Roman"/>
        <w:smallCaps/>
        <w:sz w:val="20"/>
        <w:highlight w:val="yellow"/>
        <w:u w:val="single"/>
      </w:rPr>
    </w:pPr>
    <w:r w:rsidRPr="00245C44">
      <w:rPr>
        <w:noProof/>
        <w:lang w:eastAsia="en-CA"/>
      </w:rPr>
      <w:drawing>
        <wp:anchor distT="0" distB="0" distL="114300" distR="114300" simplePos="0" relativeHeight="251672576" behindDoc="1" locked="0" layoutInCell="1" allowOverlap="1" wp14:anchorId="595EEAB1" wp14:editId="295E5D59">
          <wp:simplePos x="0" y="0"/>
          <wp:positionH relativeFrom="column">
            <wp:posOffset>4381500</wp:posOffset>
          </wp:positionH>
          <wp:positionV relativeFrom="paragraph">
            <wp:posOffset>-123945</wp:posOffset>
          </wp:positionV>
          <wp:extent cx="1676400" cy="567929"/>
          <wp:effectExtent l="0" t="0" r="0" b="0"/>
          <wp:wrapNone/>
          <wp:docPr id="29" name="Picture 3" descr="http://pipeline.myterasen.com/NR/rdonlyres/e4cjooyow6qlkz3kxvnjg2v5antbk2uik4356u3jwl3ymrftfj7wfw6lukr5ij2oopid7otu65dk2qaw3mbz7bxxpef/terasen_gas_logo_2colo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ipeline.myterasen.com/NR/rdonlyres/e4cjooyow6qlkz3kxvnjg2v5antbk2uik4356u3jwl3ymrftfj7wfw6lukr5ij2oopid7otu65dk2qaw3mbz7bxxpef/terasen_gas_logo_2colour.gif"/>
                  <pic:cNvPicPr>
                    <a:picLocks noChangeAspect="1" noChangeArrowheads="1"/>
                  </pic:cNvPicPr>
                </pic:nvPicPr>
                <pic:blipFill>
                  <a:blip r:embed="rId1"/>
                  <a:stretch>
                    <a:fillRect/>
                  </a:stretch>
                </pic:blipFill>
                <pic:spPr bwMode="auto">
                  <a:xfrm>
                    <a:off x="0" y="0"/>
                    <a:ext cx="1676400" cy="567929"/>
                  </a:xfrm>
                  <a:prstGeom prst="rect">
                    <a:avLst/>
                  </a:prstGeom>
                  <a:noFill/>
                  <a:ln w="9525">
                    <a:noFill/>
                    <a:miter lim="800000"/>
                    <a:headEnd/>
                    <a:tailEnd/>
                  </a:ln>
                </pic:spPr>
              </pic:pic>
            </a:graphicData>
          </a:graphic>
        </wp:anchor>
      </w:drawing>
    </w:r>
  </w:p>
  <w:p w14:paraId="5105BF14" w14:textId="77777777" w:rsidR="004310B0" w:rsidRPr="00685DBF" w:rsidRDefault="004310B0" w:rsidP="004310B0">
    <w:pPr>
      <w:pStyle w:val="HeaderLine1"/>
      <w:spacing w:after="0" w:line="240" w:lineRule="auto"/>
    </w:pPr>
    <w:r w:rsidRPr="00D16F57">
      <w:t>FortisBC Inc.</w:t>
    </w:r>
  </w:p>
  <w:p w14:paraId="6D16A61C" w14:textId="3FF9CE34" w:rsidR="004310B0" w:rsidRDefault="004310B0" w:rsidP="00292609">
    <w:pPr>
      <w:pStyle w:val="HeaderLine2"/>
      <w:spacing w:after="0" w:line="240" w:lineRule="auto"/>
    </w:pPr>
    <w:r>
      <w:t>Appendix G – glossaries &amp; acronyms</w:t>
    </w:r>
  </w:p>
  <w:p w14:paraId="290FACA4" w14:textId="77777777" w:rsidR="004310B0" w:rsidRDefault="004310B0" w:rsidP="004310B0">
    <w:pPr>
      <w:spacing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6EFAEA16"/>
    <w:lvl w:ilvl="0">
      <w:start w:val="1"/>
      <w:numFmt w:val="decimal"/>
      <w:lvlText w:val="%1."/>
      <w:lvlJc w:val="left"/>
      <w:pPr>
        <w:tabs>
          <w:tab w:val="num" w:pos="720"/>
        </w:tabs>
        <w:ind w:left="720" w:hanging="360"/>
      </w:pPr>
    </w:lvl>
  </w:abstractNum>
  <w:abstractNum w:abstractNumId="1">
    <w:nsid w:val="FFFFFF83"/>
    <w:multiLevelType w:val="singleLevel"/>
    <w:tmpl w:val="7EFE745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0254B2FC"/>
    <w:lvl w:ilvl="0">
      <w:start w:val="1"/>
      <w:numFmt w:val="decimal"/>
      <w:pStyle w:val="ListNumber"/>
      <w:lvlText w:val="%1."/>
      <w:lvlJc w:val="left"/>
      <w:pPr>
        <w:tabs>
          <w:tab w:val="num" w:pos="360"/>
        </w:tabs>
        <w:ind w:left="360" w:hanging="360"/>
      </w:pPr>
    </w:lvl>
  </w:abstractNum>
  <w:abstractNum w:abstractNumId="3">
    <w:nsid w:val="02065E77"/>
    <w:multiLevelType w:val="multilevel"/>
    <w:tmpl w:val="C1464C96"/>
    <w:lvl w:ilvl="0">
      <w:start w:val="1"/>
      <w:numFmt w:val="decimal"/>
      <w:lvlText w:val="%1."/>
      <w:lvlJc w:val="left"/>
      <w:pPr>
        <w:ind w:left="357" w:hanging="35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2"/>
      <w:numFmt w:val="decimal"/>
      <w:isLgl/>
      <w:lvlText w:val="%1.%2"/>
      <w:lvlJc w:val="left"/>
      <w:pPr>
        <w:ind w:left="284" w:hanging="284"/>
      </w:pPr>
      <w:rPr>
        <w:rFonts w:hint="default"/>
      </w:rPr>
    </w:lvl>
    <w:lvl w:ilvl="2">
      <w:start w:val="1"/>
      <w:numFmt w:val="decimal"/>
      <w:isLgl/>
      <w:lvlText w:val="%1.%2.%3"/>
      <w:lvlJc w:val="left"/>
      <w:pPr>
        <w:ind w:left="357" w:hanging="357"/>
      </w:pPr>
      <w:rPr>
        <w:rFonts w:hint="default"/>
      </w:rPr>
    </w:lvl>
    <w:lvl w:ilvl="3">
      <w:start w:val="1"/>
      <w:numFmt w:val="decimal"/>
      <w:isLgl/>
      <w:lvlText w:val="%1.%2.%3.%4"/>
      <w:lvlJc w:val="left"/>
      <w:pPr>
        <w:ind w:left="357" w:hanging="357"/>
      </w:pPr>
      <w:rPr>
        <w:rFonts w:hint="default"/>
      </w:rPr>
    </w:lvl>
    <w:lvl w:ilvl="4">
      <w:start w:val="1"/>
      <w:numFmt w:val="decimal"/>
      <w:isLgl/>
      <w:lvlText w:val="%1.%2.%3.%4.%5"/>
      <w:lvlJc w:val="left"/>
      <w:pPr>
        <w:ind w:left="357" w:hanging="357"/>
      </w:pPr>
      <w:rPr>
        <w:rFonts w:hint="default"/>
      </w:rPr>
    </w:lvl>
    <w:lvl w:ilvl="5">
      <w:start w:val="1"/>
      <w:numFmt w:val="decimal"/>
      <w:isLgl/>
      <w:lvlText w:val="%1.%2.%3.%4.%5.%6"/>
      <w:lvlJc w:val="left"/>
      <w:pPr>
        <w:ind w:left="357" w:hanging="357"/>
      </w:pPr>
      <w:rPr>
        <w:rFonts w:hint="default"/>
      </w:rPr>
    </w:lvl>
    <w:lvl w:ilvl="6">
      <w:start w:val="1"/>
      <w:numFmt w:val="decimal"/>
      <w:isLgl/>
      <w:lvlText w:val="%1.%2.%3.%4.%5.%6.%7"/>
      <w:lvlJc w:val="left"/>
      <w:pPr>
        <w:ind w:left="357" w:hanging="357"/>
      </w:pPr>
      <w:rPr>
        <w:rFonts w:hint="default"/>
      </w:rPr>
    </w:lvl>
    <w:lvl w:ilvl="7">
      <w:start w:val="1"/>
      <w:numFmt w:val="decimal"/>
      <w:isLgl/>
      <w:lvlText w:val="%1.%2.%3.%4.%5.%6.%7.%8"/>
      <w:lvlJc w:val="left"/>
      <w:pPr>
        <w:ind w:left="357" w:hanging="357"/>
      </w:pPr>
      <w:rPr>
        <w:rFonts w:hint="default"/>
      </w:rPr>
    </w:lvl>
    <w:lvl w:ilvl="8">
      <w:start w:val="1"/>
      <w:numFmt w:val="decimal"/>
      <w:isLgl/>
      <w:lvlText w:val="%1.%2.%3.%4.%5.%6.%7.%8.%9"/>
      <w:lvlJc w:val="left"/>
      <w:pPr>
        <w:ind w:left="357" w:hanging="357"/>
      </w:pPr>
      <w:rPr>
        <w:rFonts w:hint="default"/>
      </w:rPr>
    </w:lvl>
  </w:abstractNum>
  <w:abstractNum w:abstractNumId="4">
    <w:nsid w:val="04AB3F9C"/>
    <w:multiLevelType w:val="hybridMultilevel"/>
    <w:tmpl w:val="EDFC97DA"/>
    <w:lvl w:ilvl="0" w:tplc="000AE538">
      <w:start w:val="1"/>
      <w:numFmt w:val="low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1D3BAB"/>
    <w:multiLevelType w:val="hybridMultilevel"/>
    <w:tmpl w:val="7AFC9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272A2174"/>
    <w:multiLevelType w:val="multilevel"/>
    <w:tmpl w:val="6C7073F0"/>
    <w:lvl w:ilvl="0">
      <w:start w:val="1"/>
      <w:numFmt w:val="decimal"/>
      <w:pStyle w:val="Heading1"/>
      <w:lvlText w:val="%1."/>
      <w:lvlJc w:val="left"/>
      <w:pPr>
        <w:tabs>
          <w:tab w:val="num" w:pos="0"/>
        </w:tabs>
        <w:ind w:left="432" w:hanging="432"/>
      </w:pPr>
      <w:rPr>
        <w:rFonts w:hint="default"/>
      </w:rPr>
    </w:lvl>
    <w:lvl w:ilvl="1">
      <w:start w:val="1"/>
      <w:numFmt w:val="decimal"/>
      <w:pStyle w:val="Heading2"/>
      <w:lvlText w:val="%1.%2"/>
      <w:lvlJc w:val="left"/>
      <w:pPr>
        <w:tabs>
          <w:tab w:val="num" w:pos="450"/>
        </w:tabs>
        <w:ind w:left="450" w:firstLine="0"/>
      </w:pPr>
      <w:rPr>
        <w:rFonts w:hint="default"/>
        <w:i w:val="0"/>
        <w:u w:val="none"/>
      </w:rPr>
    </w:lvl>
    <w:lvl w:ilvl="2">
      <w:start w:val="1"/>
      <w:numFmt w:val="decimal"/>
      <w:pStyle w:val="Heading3"/>
      <w:lvlText w:val="%1.%2.%3"/>
      <w:lvlJc w:val="left"/>
      <w:pPr>
        <w:tabs>
          <w:tab w:val="num" w:pos="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0"/>
        </w:tabs>
        <w:ind w:left="864" w:hanging="864"/>
      </w:pPr>
      <w:rPr>
        <w:rFonts w:ascii="Arial Bold" w:hAnsi="Arial Bold" w:hint="default"/>
        <w:b/>
        <w:i/>
        <w:sz w:val="24"/>
      </w:rPr>
    </w:lvl>
    <w:lvl w:ilvl="4">
      <w:start w:val="1"/>
      <w:numFmt w:val="decimal"/>
      <w:pStyle w:val="Heading5"/>
      <w:lvlText w:val="%1.%2.%3.%4.%5"/>
      <w:lvlJc w:val="left"/>
      <w:pPr>
        <w:tabs>
          <w:tab w:val="num" w:pos="0"/>
        </w:tabs>
        <w:ind w:left="1008" w:hanging="1008"/>
      </w:pPr>
      <w:rPr>
        <w:rFonts w:hint="default"/>
        <w:sz w:val="20"/>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7">
    <w:nsid w:val="323424D4"/>
    <w:multiLevelType w:val="hybridMultilevel"/>
    <w:tmpl w:val="9A346422"/>
    <w:lvl w:ilvl="0" w:tplc="E1B0DF20">
      <w:start w:val="1"/>
      <w:numFmt w:val="bullet"/>
      <w:pStyle w:val="ListBullet2"/>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AB85C5B"/>
    <w:multiLevelType w:val="hybridMultilevel"/>
    <w:tmpl w:val="C340F21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3AF86EED"/>
    <w:multiLevelType w:val="hybridMultilevel"/>
    <w:tmpl w:val="CB448970"/>
    <w:lvl w:ilvl="0" w:tplc="09D6C808">
      <w:start w:val="1"/>
      <w:numFmt w:val="upperLetter"/>
      <w:pStyle w:val="HEADINGTAB"/>
      <w:lvlText w:val="%1:  "/>
      <w:lvlJc w:val="left"/>
      <w:pPr>
        <w:ind w:left="360" w:hanging="360"/>
      </w:pPr>
      <w:rPr>
        <w:rFonts w:ascii="Calibri" w:hAnsi="Calibri" w:hint="default"/>
        <w:b/>
        <w:i w:val="0"/>
        <w:caps/>
        <w:sz w:val="3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52F3784F"/>
    <w:multiLevelType w:val="hybridMultilevel"/>
    <w:tmpl w:val="2A0EA59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F102665"/>
    <w:multiLevelType w:val="hybridMultilevel"/>
    <w:tmpl w:val="4134D26C"/>
    <w:lvl w:ilvl="0" w:tplc="0636ABF8">
      <w:start w:val="1"/>
      <w:numFmt w:val="lowerRoman"/>
      <w:pStyle w:val="ListNumber2"/>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DD3372"/>
    <w:multiLevelType w:val="hybridMultilevel"/>
    <w:tmpl w:val="CE6C9D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655F2C80"/>
    <w:multiLevelType w:val="hybridMultilevel"/>
    <w:tmpl w:val="7F7078C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8140B3D"/>
    <w:multiLevelType w:val="hybridMultilevel"/>
    <w:tmpl w:val="B720CFCC"/>
    <w:lvl w:ilvl="0" w:tplc="6E1A7B38">
      <w:start w:val="1"/>
      <w:numFmt w:val="lowerRoman"/>
      <w:lvlText w:val="(%1)"/>
      <w:lvlJc w:val="left"/>
      <w:pPr>
        <w:ind w:left="1080" w:hanging="720"/>
      </w:pPr>
      <w:rPr>
        <w:rFonts w:hint="default"/>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FA71A18"/>
    <w:multiLevelType w:val="hybridMultilevel"/>
    <w:tmpl w:val="7CBA56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755D4CC4"/>
    <w:multiLevelType w:val="multilevel"/>
    <w:tmpl w:val="775202B2"/>
    <w:lvl w:ilvl="0">
      <w:start w:val="4"/>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680" w:hanging="144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560" w:hanging="2160"/>
      </w:pPr>
      <w:rPr>
        <w:rFonts w:hint="default"/>
      </w:rPr>
    </w:lvl>
    <w:lvl w:ilvl="8">
      <w:start w:val="1"/>
      <w:numFmt w:val="decimal"/>
      <w:lvlText w:val="%1.%2.%3.%4.%5.%6.%7.%8.%9"/>
      <w:lvlJc w:val="left"/>
      <w:pPr>
        <w:ind w:left="8280" w:hanging="2160"/>
      </w:pPr>
      <w:rPr>
        <w:rFonts w:hint="default"/>
      </w:rPr>
    </w:lvl>
  </w:abstractNum>
  <w:abstractNum w:abstractNumId="17">
    <w:nsid w:val="76F72544"/>
    <w:multiLevelType w:val="hybridMultilevel"/>
    <w:tmpl w:val="8550EE1A"/>
    <w:lvl w:ilvl="0" w:tplc="16262016">
      <w:start w:val="1"/>
      <w:numFmt w:val="bullet"/>
      <w:pStyle w:val="ListBullet1"/>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9"/>
  </w:num>
  <w:num w:numId="6">
    <w:abstractNumId w:val="17"/>
  </w:num>
  <w:num w:numId="7">
    <w:abstractNumId w:val="8"/>
  </w:num>
  <w:num w:numId="8">
    <w:abstractNumId w:val="15"/>
  </w:num>
  <w:num w:numId="9">
    <w:abstractNumId w:val="10"/>
  </w:num>
  <w:num w:numId="10">
    <w:abstractNumId w:val="3"/>
  </w:num>
  <w:num w:numId="11">
    <w:abstractNumId w:val="12"/>
  </w:num>
  <w:num w:numId="12">
    <w:abstractNumId w:val="7"/>
  </w:num>
  <w:num w:numId="13">
    <w:abstractNumId w:val="13"/>
  </w:num>
  <w:num w:numId="14">
    <w:abstractNumId w:val="14"/>
  </w:num>
  <w:num w:numId="15">
    <w:abstractNumId w:val="11"/>
  </w:num>
  <w:num w:numId="16">
    <w:abstractNumId w:val="16"/>
  </w:num>
  <w:num w:numId="17">
    <w:abstractNumId w:val="6"/>
  </w:num>
  <w:num w:numId="18">
    <w:abstractNumId w:val="1"/>
  </w:num>
  <w:num w:numId="1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SortMethod w:val="0000"/>
  <w:revisionView w:inkAnnotation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14"/>
    <w:rsid w:val="00003532"/>
    <w:rsid w:val="00005562"/>
    <w:rsid w:val="00010AA8"/>
    <w:rsid w:val="00010D98"/>
    <w:rsid w:val="000159C9"/>
    <w:rsid w:val="0002442D"/>
    <w:rsid w:val="000268E8"/>
    <w:rsid w:val="00026C23"/>
    <w:rsid w:val="000276DA"/>
    <w:rsid w:val="000364CE"/>
    <w:rsid w:val="00037345"/>
    <w:rsid w:val="00042C64"/>
    <w:rsid w:val="000463F7"/>
    <w:rsid w:val="0004753B"/>
    <w:rsid w:val="00047C26"/>
    <w:rsid w:val="00050A8C"/>
    <w:rsid w:val="0006111A"/>
    <w:rsid w:val="00061CF8"/>
    <w:rsid w:val="00062C5E"/>
    <w:rsid w:val="00067084"/>
    <w:rsid w:val="00067E6B"/>
    <w:rsid w:val="000718D7"/>
    <w:rsid w:val="000720FB"/>
    <w:rsid w:val="0007305F"/>
    <w:rsid w:val="00074A42"/>
    <w:rsid w:val="00075CB1"/>
    <w:rsid w:val="000820C8"/>
    <w:rsid w:val="00082C7F"/>
    <w:rsid w:val="000A6C2D"/>
    <w:rsid w:val="000B2A18"/>
    <w:rsid w:val="000B3493"/>
    <w:rsid w:val="000B3615"/>
    <w:rsid w:val="000B4BAD"/>
    <w:rsid w:val="000C0D15"/>
    <w:rsid w:val="000C220F"/>
    <w:rsid w:val="000C4602"/>
    <w:rsid w:val="000C65A4"/>
    <w:rsid w:val="000D0ECC"/>
    <w:rsid w:val="000D12DC"/>
    <w:rsid w:val="000D60E7"/>
    <w:rsid w:val="000D6EAB"/>
    <w:rsid w:val="000E3FFF"/>
    <w:rsid w:val="000E585B"/>
    <w:rsid w:val="000E5E81"/>
    <w:rsid w:val="000E6C5E"/>
    <w:rsid w:val="000F1020"/>
    <w:rsid w:val="000F2CDC"/>
    <w:rsid w:val="000F582D"/>
    <w:rsid w:val="00100AFF"/>
    <w:rsid w:val="00102B13"/>
    <w:rsid w:val="00103C94"/>
    <w:rsid w:val="00107DCF"/>
    <w:rsid w:val="00112BC7"/>
    <w:rsid w:val="0011380F"/>
    <w:rsid w:val="00120DA3"/>
    <w:rsid w:val="00121120"/>
    <w:rsid w:val="00121BEC"/>
    <w:rsid w:val="00126329"/>
    <w:rsid w:val="001402B3"/>
    <w:rsid w:val="001467BC"/>
    <w:rsid w:val="00146FD9"/>
    <w:rsid w:val="00151F81"/>
    <w:rsid w:val="0015213D"/>
    <w:rsid w:val="0015280D"/>
    <w:rsid w:val="00153326"/>
    <w:rsid w:val="001578C3"/>
    <w:rsid w:val="00162951"/>
    <w:rsid w:val="001662D3"/>
    <w:rsid w:val="00172515"/>
    <w:rsid w:val="001746D3"/>
    <w:rsid w:val="001768E5"/>
    <w:rsid w:val="0017693E"/>
    <w:rsid w:val="00177B31"/>
    <w:rsid w:val="00184405"/>
    <w:rsid w:val="00185455"/>
    <w:rsid w:val="00192266"/>
    <w:rsid w:val="00193861"/>
    <w:rsid w:val="00193BFC"/>
    <w:rsid w:val="001A1F88"/>
    <w:rsid w:val="001A5C8C"/>
    <w:rsid w:val="001B77D7"/>
    <w:rsid w:val="001D3074"/>
    <w:rsid w:val="001E0ACE"/>
    <w:rsid w:val="001E23E4"/>
    <w:rsid w:val="001E2DDC"/>
    <w:rsid w:val="001E7F58"/>
    <w:rsid w:val="001F3FCB"/>
    <w:rsid w:val="00211AEC"/>
    <w:rsid w:val="00215E62"/>
    <w:rsid w:val="00216372"/>
    <w:rsid w:val="002175C3"/>
    <w:rsid w:val="00226D2E"/>
    <w:rsid w:val="0023675F"/>
    <w:rsid w:val="002536F2"/>
    <w:rsid w:val="002576C0"/>
    <w:rsid w:val="00266F08"/>
    <w:rsid w:val="00267782"/>
    <w:rsid w:val="00271C30"/>
    <w:rsid w:val="002732FE"/>
    <w:rsid w:val="00275382"/>
    <w:rsid w:val="00275E36"/>
    <w:rsid w:val="00276848"/>
    <w:rsid w:val="00277B49"/>
    <w:rsid w:val="00277B70"/>
    <w:rsid w:val="00286303"/>
    <w:rsid w:val="00292609"/>
    <w:rsid w:val="002A1A80"/>
    <w:rsid w:val="002A584B"/>
    <w:rsid w:val="002A6AA4"/>
    <w:rsid w:val="002A7DB6"/>
    <w:rsid w:val="002A7EC3"/>
    <w:rsid w:val="002B261B"/>
    <w:rsid w:val="002B5469"/>
    <w:rsid w:val="002D1051"/>
    <w:rsid w:val="002D6941"/>
    <w:rsid w:val="002E00AD"/>
    <w:rsid w:val="002E5F9F"/>
    <w:rsid w:val="002E664F"/>
    <w:rsid w:val="002F37A9"/>
    <w:rsid w:val="003009CE"/>
    <w:rsid w:val="00301B2F"/>
    <w:rsid w:val="0030283E"/>
    <w:rsid w:val="00304A81"/>
    <w:rsid w:val="0030565C"/>
    <w:rsid w:val="00346D08"/>
    <w:rsid w:val="00350A8F"/>
    <w:rsid w:val="00350F86"/>
    <w:rsid w:val="00351B62"/>
    <w:rsid w:val="0035638A"/>
    <w:rsid w:val="00367A1F"/>
    <w:rsid w:val="003752A8"/>
    <w:rsid w:val="00375AA7"/>
    <w:rsid w:val="00382B38"/>
    <w:rsid w:val="00395ACC"/>
    <w:rsid w:val="003A5C5B"/>
    <w:rsid w:val="003B0E3B"/>
    <w:rsid w:val="003B3498"/>
    <w:rsid w:val="003B392A"/>
    <w:rsid w:val="003B3DFA"/>
    <w:rsid w:val="003C032B"/>
    <w:rsid w:val="003C5A37"/>
    <w:rsid w:val="003C61BA"/>
    <w:rsid w:val="003D499C"/>
    <w:rsid w:val="003D7A9F"/>
    <w:rsid w:val="003E13AC"/>
    <w:rsid w:val="003F0A1F"/>
    <w:rsid w:val="003F70A6"/>
    <w:rsid w:val="0040017B"/>
    <w:rsid w:val="00400678"/>
    <w:rsid w:val="0040098E"/>
    <w:rsid w:val="00400F8E"/>
    <w:rsid w:val="004021FC"/>
    <w:rsid w:val="0040232B"/>
    <w:rsid w:val="00404AB2"/>
    <w:rsid w:val="0040728A"/>
    <w:rsid w:val="00411659"/>
    <w:rsid w:val="004143A8"/>
    <w:rsid w:val="0042575B"/>
    <w:rsid w:val="00426825"/>
    <w:rsid w:val="00430C2F"/>
    <w:rsid w:val="004310B0"/>
    <w:rsid w:val="00432A85"/>
    <w:rsid w:val="004410CF"/>
    <w:rsid w:val="00441D1D"/>
    <w:rsid w:val="00451D23"/>
    <w:rsid w:val="00453FDD"/>
    <w:rsid w:val="004547B6"/>
    <w:rsid w:val="004602D8"/>
    <w:rsid w:val="00460823"/>
    <w:rsid w:val="00460EDC"/>
    <w:rsid w:val="00463D97"/>
    <w:rsid w:val="0046722C"/>
    <w:rsid w:val="004702E6"/>
    <w:rsid w:val="00474A63"/>
    <w:rsid w:val="00477CEC"/>
    <w:rsid w:val="00480C69"/>
    <w:rsid w:val="00486593"/>
    <w:rsid w:val="00495D5D"/>
    <w:rsid w:val="004A036B"/>
    <w:rsid w:val="004A43AA"/>
    <w:rsid w:val="004A6CE6"/>
    <w:rsid w:val="004B7374"/>
    <w:rsid w:val="004C44EC"/>
    <w:rsid w:val="004C4A1F"/>
    <w:rsid w:val="004D1B0F"/>
    <w:rsid w:val="004D2488"/>
    <w:rsid w:val="004D3EB6"/>
    <w:rsid w:val="004D60CC"/>
    <w:rsid w:val="004E27C2"/>
    <w:rsid w:val="004F0BE5"/>
    <w:rsid w:val="004F0FBC"/>
    <w:rsid w:val="004F49A3"/>
    <w:rsid w:val="004F5C65"/>
    <w:rsid w:val="00503118"/>
    <w:rsid w:val="00504DEF"/>
    <w:rsid w:val="005127A8"/>
    <w:rsid w:val="005204B9"/>
    <w:rsid w:val="00521907"/>
    <w:rsid w:val="00524C7D"/>
    <w:rsid w:val="00525C3F"/>
    <w:rsid w:val="00533566"/>
    <w:rsid w:val="0054077C"/>
    <w:rsid w:val="00541619"/>
    <w:rsid w:val="005430D8"/>
    <w:rsid w:val="00546C4D"/>
    <w:rsid w:val="005538C8"/>
    <w:rsid w:val="00555445"/>
    <w:rsid w:val="0055596C"/>
    <w:rsid w:val="00586DC4"/>
    <w:rsid w:val="00587511"/>
    <w:rsid w:val="005918B4"/>
    <w:rsid w:val="00593178"/>
    <w:rsid w:val="005A128B"/>
    <w:rsid w:val="005A6168"/>
    <w:rsid w:val="005A70EC"/>
    <w:rsid w:val="005B1B18"/>
    <w:rsid w:val="005B439E"/>
    <w:rsid w:val="005B486E"/>
    <w:rsid w:val="005B5AAB"/>
    <w:rsid w:val="005B5DB7"/>
    <w:rsid w:val="005B607B"/>
    <w:rsid w:val="005C0700"/>
    <w:rsid w:val="005C24B0"/>
    <w:rsid w:val="005C4799"/>
    <w:rsid w:val="005C4DC7"/>
    <w:rsid w:val="005D5278"/>
    <w:rsid w:val="005D6237"/>
    <w:rsid w:val="005D7306"/>
    <w:rsid w:val="005E16A4"/>
    <w:rsid w:val="005E6D06"/>
    <w:rsid w:val="005E7725"/>
    <w:rsid w:val="005F0393"/>
    <w:rsid w:val="005F2651"/>
    <w:rsid w:val="005F3AE3"/>
    <w:rsid w:val="00602B68"/>
    <w:rsid w:val="006139CC"/>
    <w:rsid w:val="00615050"/>
    <w:rsid w:val="00620089"/>
    <w:rsid w:val="00624A98"/>
    <w:rsid w:val="00632171"/>
    <w:rsid w:val="0063396F"/>
    <w:rsid w:val="0063701A"/>
    <w:rsid w:val="00641F38"/>
    <w:rsid w:val="006428AC"/>
    <w:rsid w:val="00643F99"/>
    <w:rsid w:val="00647615"/>
    <w:rsid w:val="006531A4"/>
    <w:rsid w:val="00656AF0"/>
    <w:rsid w:val="00662B85"/>
    <w:rsid w:val="00671932"/>
    <w:rsid w:val="0067594E"/>
    <w:rsid w:val="006768A1"/>
    <w:rsid w:val="00677B95"/>
    <w:rsid w:val="00677FAC"/>
    <w:rsid w:val="00684E33"/>
    <w:rsid w:val="0068798C"/>
    <w:rsid w:val="00690877"/>
    <w:rsid w:val="00694EE7"/>
    <w:rsid w:val="006A492B"/>
    <w:rsid w:val="006A4ADC"/>
    <w:rsid w:val="006A5890"/>
    <w:rsid w:val="006A7632"/>
    <w:rsid w:val="006B361E"/>
    <w:rsid w:val="006B61C7"/>
    <w:rsid w:val="006C2B01"/>
    <w:rsid w:val="006D273C"/>
    <w:rsid w:val="006D2FE1"/>
    <w:rsid w:val="006E23EB"/>
    <w:rsid w:val="006F25C8"/>
    <w:rsid w:val="006F7AF6"/>
    <w:rsid w:val="007032C5"/>
    <w:rsid w:val="00706640"/>
    <w:rsid w:val="007100DF"/>
    <w:rsid w:val="007127DD"/>
    <w:rsid w:val="00720C8B"/>
    <w:rsid w:val="00724E9E"/>
    <w:rsid w:val="007434B8"/>
    <w:rsid w:val="00743C17"/>
    <w:rsid w:val="0074560F"/>
    <w:rsid w:val="007547C5"/>
    <w:rsid w:val="00763B2F"/>
    <w:rsid w:val="00777643"/>
    <w:rsid w:val="00780B28"/>
    <w:rsid w:val="00786036"/>
    <w:rsid w:val="00791B89"/>
    <w:rsid w:val="0079775D"/>
    <w:rsid w:val="007A4A41"/>
    <w:rsid w:val="007A71D6"/>
    <w:rsid w:val="007B02FA"/>
    <w:rsid w:val="007B0AF7"/>
    <w:rsid w:val="007B3879"/>
    <w:rsid w:val="007C1659"/>
    <w:rsid w:val="007D0DCF"/>
    <w:rsid w:val="007D2369"/>
    <w:rsid w:val="007D2987"/>
    <w:rsid w:val="007D4E9C"/>
    <w:rsid w:val="007F0C51"/>
    <w:rsid w:val="007F5830"/>
    <w:rsid w:val="00800441"/>
    <w:rsid w:val="008017D0"/>
    <w:rsid w:val="0080376C"/>
    <w:rsid w:val="008108A3"/>
    <w:rsid w:val="00811CE2"/>
    <w:rsid w:val="00812C1B"/>
    <w:rsid w:val="008144A8"/>
    <w:rsid w:val="008154A2"/>
    <w:rsid w:val="00817113"/>
    <w:rsid w:val="00822E69"/>
    <w:rsid w:val="00825EA9"/>
    <w:rsid w:val="00840E39"/>
    <w:rsid w:val="00845E27"/>
    <w:rsid w:val="008460D5"/>
    <w:rsid w:val="00847DEE"/>
    <w:rsid w:val="00853BD5"/>
    <w:rsid w:val="008574D3"/>
    <w:rsid w:val="008604FA"/>
    <w:rsid w:val="00860585"/>
    <w:rsid w:val="00864899"/>
    <w:rsid w:val="00874339"/>
    <w:rsid w:val="00882E6B"/>
    <w:rsid w:val="00884BDD"/>
    <w:rsid w:val="00885878"/>
    <w:rsid w:val="00885B2F"/>
    <w:rsid w:val="0089011E"/>
    <w:rsid w:val="00896337"/>
    <w:rsid w:val="00897CD3"/>
    <w:rsid w:val="008A71DC"/>
    <w:rsid w:val="008B0E65"/>
    <w:rsid w:val="008B61E5"/>
    <w:rsid w:val="008B65BA"/>
    <w:rsid w:val="008B7007"/>
    <w:rsid w:val="008C3964"/>
    <w:rsid w:val="008D4B91"/>
    <w:rsid w:val="008F4508"/>
    <w:rsid w:val="008F5F1F"/>
    <w:rsid w:val="00904736"/>
    <w:rsid w:val="0090690A"/>
    <w:rsid w:val="009101B4"/>
    <w:rsid w:val="009135DA"/>
    <w:rsid w:val="00920AC0"/>
    <w:rsid w:val="00922292"/>
    <w:rsid w:val="0092357C"/>
    <w:rsid w:val="00924E2B"/>
    <w:rsid w:val="00927693"/>
    <w:rsid w:val="0093445F"/>
    <w:rsid w:val="00943A01"/>
    <w:rsid w:val="00946760"/>
    <w:rsid w:val="00957088"/>
    <w:rsid w:val="00964B88"/>
    <w:rsid w:val="00964C84"/>
    <w:rsid w:val="0096616B"/>
    <w:rsid w:val="009679A8"/>
    <w:rsid w:val="00970138"/>
    <w:rsid w:val="0097573B"/>
    <w:rsid w:val="0099189F"/>
    <w:rsid w:val="009926F4"/>
    <w:rsid w:val="009973A4"/>
    <w:rsid w:val="009A0002"/>
    <w:rsid w:val="009A32F5"/>
    <w:rsid w:val="009A40E0"/>
    <w:rsid w:val="009A4193"/>
    <w:rsid w:val="009B1F7D"/>
    <w:rsid w:val="009B38FB"/>
    <w:rsid w:val="009C6A50"/>
    <w:rsid w:val="009D714A"/>
    <w:rsid w:val="009D7305"/>
    <w:rsid w:val="009E18C8"/>
    <w:rsid w:val="009E1C1C"/>
    <w:rsid w:val="009F0113"/>
    <w:rsid w:val="009F087C"/>
    <w:rsid w:val="009F11A0"/>
    <w:rsid w:val="009F1363"/>
    <w:rsid w:val="009F4D9A"/>
    <w:rsid w:val="009F66D4"/>
    <w:rsid w:val="00A0027F"/>
    <w:rsid w:val="00A01CD8"/>
    <w:rsid w:val="00A04B04"/>
    <w:rsid w:val="00A12023"/>
    <w:rsid w:val="00A1206C"/>
    <w:rsid w:val="00A126E2"/>
    <w:rsid w:val="00A14C44"/>
    <w:rsid w:val="00A2244A"/>
    <w:rsid w:val="00A22B13"/>
    <w:rsid w:val="00A2603E"/>
    <w:rsid w:val="00A30232"/>
    <w:rsid w:val="00A32563"/>
    <w:rsid w:val="00A349A7"/>
    <w:rsid w:val="00A36194"/>
    <w:rsid w:val="00A44CF0"/>
    <w:rsid w:val="00A5067F"/>
    <w:rsid w:val="00A547E3"/>
    <w:rsid w:val="00A54AE0"/>
    <w:rsid w:val="00A640E0"/>
    <w:rsid w:val="00A66062"/>
    <w:rsid w:val="00A75676"/>
    <w:rsid w:val="00A7580D"/>
    <w:rsid w:val="00A75A6B"/>
    <w:rsid w:val="00A77B18"/>
    <w:rsid w:val="00A84FE5"/>
    <w:rsid w:val="00A8626A"/>
    <w:rsid w:val="00A90934"/>
    <w:rsid w:val="00A97E40"/>
    <w:rsid w:val="00AA006B"/>
    <w:rsid w:val="00AA55C2"/>
    <w:rsid w:val="00AA6634"/>
    <w:rsid w:val="00AA7AA5"/>
    <w:rsid w:val="00AB3FE4"/>
    <w:rsid w:val="00AC750B"/>
    <w:rsid w:val="00AD5733"/>
    <w:rsid w:val="00AD754C"/>
    <w:rsid w:val="00AE086A"/>
    <w:rsid w:val="00AE0C3A"/>
    <w:rsid w:val="00AE1C19"/>
    <w:rsid w:val="00AE2AC4"/>
    <w:rsid w:val="00AE4516"/>
    <w:rsid w:val="00AF4345"/>
    <w:rsid w:val="00AF7F67"/>
    <w:rsid w:val="00B052DC"/>
    <w:rsid w:val="00B10AFF"/>
    <w:rsid w:val="00B112F6"/>
    <w:rsid w:val="00B15212"/>
    <w:rsid w:val="00B16E14"/>
    <w:rsid w:val="00B17674"/>
    <w:rsid w:val="00B20617"/>
    <w:rsid w:val="00B244D5"/>
    <w:rsid w:val="00B253E9"/>
    <w:rsid w:val="00B33860"/>
    <w:rsid w:val="00B4320B"/>
    <w:rsid w:val="00B56387"/>
    <w:rsid w:val="00B57CA1"/>
    <w:rsid w:val="00B61F8E"/>
    <w:rsid w:val="00B620B5"/>
    <w:rsid w:val="00B722C3"/>
    <w:rsid w:val="00B72614"/>
    <w:rsid w:val="00B72DD2"/>
    <w:rsid w:val="00B72EF3"/>
    <w:rsid w:val="00B9029D"/>
    <w:rsid w:val="00B91D39"/>
    <w:rsid w:val="00BA332B"/>
    <w:rsid w:val="00BA3CBA"/>
    <w:rsid w:val="00BA5C2B"/>
    <w:rsid w:val="00BA7C45"/>
    <w:rsid w:val="00BB10CE"/>
    <w:rsid w:val="00BB509D"/>
    <w:rsid w:val="00BB631D"/>
    <w:rsid w:val="00BC1F95"/>
    <w:rsid w:val="00BC5272"/>
    <w:rsid w:val="00BC6F6F"/>
    <w:rsid w:val="00BD263C"/>
    <w:rsid w:val="00BD495F"/>
    <w:rsid w:val="00BE4277"/>
    <w:rsid w:val="00C03362"/>
    <w:rsid w:val="00C06E27"/>
    <w:rsid w:val="00C213EC"/>
    <w:rsid w:val="00C226FE"/>
    <w:rsid w:val="00C3223B"/>
    <w:rsid w:val="00C33B96"/>
    <w:rsid w:val="00C42214"/>
    <w:rsid w:val="00C4252A"/>
    <w:rsid w:val="00C428D9"/>
    <w:rsid w:val="00C472EC"/>
    <w:rsid w:val="00C47FCD"/>
    <w:rsid w:val="00C5146B"/>
    <w:rsid w:val="00C60CFB"/>
    <w:rsid w:val="00C614EF"/>
    <w:rsid w:val="00C649C9"/>
    <w:rsid w:val="00C755A7"/>
    <w:rsid w:val="00C774D8"/>
    <w:rsid w:val="00C77DF8"/>
    <w:rsid w:val="00C855CE"/>
    <w:rsid w:val="00C869D7"/>
    <w:rsid w:val="00C9450C"/>
    <w:rsid w:val="00CA1A19"/>
    <w:rsid w:val="00CA51CF"/>
    <w:rsid w:val="00CB41C5"/>
    <w:rsid w:val="00CC1C45"/>
    <w:rsid w:val="00CC3BC9"/>
    <w:rsid w:val="00CC72FC"/>
    <w:rsid w:val="00CE20F4"/>
    <w:rsid w:val="00CE2333"/>
    <w:rsid w:val="00CE34AE"/>
    <w:rsid w:val="00CE4249"/>
    <w:rsid w:val="00CE5718"/>
    <w:rsid w:val="00CE6D06"/>
    <w:rsid w:val="00CF076B"/>
    <w:rsid w:val="00CF4ACD"/>
    <w:rsid w:val="00CF6416"/>
    <w:rsid w:val="00CF7969"/>
    <w:rsid w:val="00D04A04"/>
    <w:rsid w:val="00D0704F"/>
    <w:rsid w:val="00D14303"/>
    <w:rsid w:val="00D14BB0"/>
    <w:rsid w:val="00D16D66"/>
    <w:rsid w:val="00D35DB3"/>
    <w:rsid w:val="00D41A4B"/>
    <w:rsid w:val="00D51278"/>
    <w:rsid w:val="00D56FAC"/>
    <w:rsid w:val="00D62D06"/>
    <w:rsid w:val="00D64A2D"/>
    <w:rsid w:val="00D72186"/>
    <w:rsid w:val="00D73CF1"/>
    <w:rsid w:val="00D757E2"/>
    <w:rsid w:val="00D7696E"/>
    <w:rsid w:val="00D809FC"/>
    <w:rsid w:val="00D87602"/>
    <w:rsid w:val="00D962A5"/>
    <w:rsid w:val="00D97D4A"/>
    <w:rsid w:val="00DA3FFE"/>
    <w:rsid w:val="00DB5CE7"/>
    <w:rsid w:val="00DC028A"/>
    <w:rsid w:val="00DC06E6"/>
    <w:rsid w:val="00DC2C91"/>
    <w:rsid w:val="00DC3143"/>
    <w:rsid w:val="00DC4235"/>
    <w:rsid w:val="00DD45F9"/>
    <w:rsid w:val="00DD7A92"/>
    <w:rsid w:val="00DE0643"/>
    <w:rsid w:val="00DE093B"/>
    <w:rsid w:val="00DE0F07"/>
    <w:rsid w:val="00DE1635"/>
    <w:rsid w:val="00DE5792"/>
    <w:rsid w:val="00DF3D08"/>
    <w:rsid w:val="00DF45BF"/>
    <w:rsid w:val="00DF5CB1"/>
    <w:rsid w:val="00E1096A"/>
    <w:rsid w:val="00E10D92"/>
    <w:rsid w:val="00E13475"/>
    <w:rsid w:val="00E13788"/>
    <w:rsid w:val="00E20AB2"/>
    <w:rsid w:val="00E24C3D"/>
    <w:rsid w:val="00E24F32"/>
    <w:rsid w:val="00E31784"/>
    <w:rsid w:val="00E374C5"/>
    <w:rsid w:val="00E44CBD"/>
    <w:rsid w:val="00E52022"/>
    <w:rsid w:val="00E67133"/>
    <w:rsid w:val="00E74463"/>
    <w:rsid w:val="00E81793"/>
    <w:rsid w:val="00E82402"/>
    <w:rsid w:val="00E872ED"/>
    <w:rsid w:val="00EA0759"/>
    <w:rsid w:val="00EA0BBB"/>
    <w:rsid w:val="00EA32B4"/>
    <w:rsid w:val="00EB6D75"/>
    <w:rsid w:val="00EC3534"/>
    <w:rsid w:val="00EC5C0C"/>
    <w:rsid w:val="00ED556C"/>
    <w:rsid w:val="00EE1119"/>
    <w:rsid w:val="00EE3154"/>
    <w:rsid w:val="00EE4849"/>
    <w:rsid w:val="00EE4BD9"/>
    <w:rsid w:val="00EE625B"/>
    <w:rsid w:val="00EE7288"/>
    <w:rsid w:val="00EF1D77"/>
    <w:rsid w:val="00EF33EF"/>
    <w:rsid w:val="00EF6FEC"/>
    <w:rsid w:val="00F00300"/>
    <w:rsid w:val="00F010F4"/>
    <w:rsid w:val="00F10EF2"/>
    <w:rsid w:val="00F178BD"/>
    <w:rsid w:val="00F17A36"/>
    <w:rsid w:val="00F27AC9"/>
    <w:rsid w:val="00F32604"/>
    <w:rsid w:val="00F3400B"/>
    <w:rsid w:val="00F34BC3"/>
    <w:rsid w:val="00F36091"/>
    <w:rsid w:val="00F36586"/>
    <w:rsid w:val="00F41555"/>
    <w:rsid w:val="00F41D11"/>
    <w:rsid w:val="00F45D01"/>
    <w:rsid w:val="00F538AD"/>
    <w:rsid w:val="00F546F6"/>
    <w:rsid w:val="00F627C7"/>
    <w:rsid w:val="00F63647"/>
    <w:rsid w:val="00F63BC6"/>
    <w:rsid w:val="00F66955"/>
    <w:rsid w:val="00F70D52"/>
    <w:rsid w:val="00F769AA"/>
    <w:rsid w:val="00F8039D"/>
    <w:rsid w:val="00F81E6B"/>
    <w:rsid w:val="00F82214"/>
    <w:rsid w:val="00F90968"/>
    <w:rsid w:val="00F94F14"/>
    <w:rsid w:val="00F95587"/>
    <w:rsid w:val="00F960B1"/>
    <w:rsid w:val="00F96EC3"/>
    <w:rsid w:val="00FA636C"/>
    <w:rsid w:val="00FB005A"/>
    <w:rsid w:val="00FB3808"/>
    <w:rsid w:val="00FB3A95"/>
    <w:rsid w:val="00FB631B"/>
    <w:rsid w:val="00FB6CEC"/>
    <w:rsid w:val="00FC154D"/>
    <w:rsid w:val="00FC5D0E"/>
    <w:rsid w:val="00FD17CB"/>
    <w:rsid w:val="00FD28DF"/>
    <w:rsid w:val="00FE1EAC"/>
    <w:rsid w:val="00FF21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F7CCA9"/>
  <w15:docId w15:val="{8EF2C454-2EBB-4662-AE3F-9D463D9E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0EC"/>
    <w:pPr>
      <w:jc w:val="both"/>
    </w:pPr>
    <w:rPr>
      <w:rFonts w:ascii="Arial" w:hAnsi="Arial"/>
    </w:rPr>
  </w:style>
  <w:style w:type="paragraph" w:styleId="Heading1">
    <w:name w:val="heading 1"/>
    <w:basedOn w:val="Normal"/>
    <w:next w:val="Normal"/>
    <w:link w:val="Heading1Char"/>
    <w:uiPriority w:val="99"/>
    <w:qFormat/>
    <w:rsid w:val="007A71D6"/>
    <w:pPr>
      <w:keepNext/>
      <w:numPr>
        <w:numId w:val="1"/>
      </w:numPr>
      <w:spacing w:before="120" w:after="240" w:line="240" w:lineRule="auto"/>
      <w:ind w:left="540" w:hanging="540"/>
      <w:jc w:val="left"/>
      <w:outlineLvl w:val="0"/>
    </w:pPr>
    <w:rPr>
      <w:rFonts w:ascii="Arial Bold" w:eastAsia="Times New Roman" w:hAnsi="Arial Bold" w:cs="Times New Roman"/>
      <w:b/>
      <w:caps/>
      <w:color w:val="0000CC"/>
      <w:kern w:val="28"/>
      <w:sz w:val="28"/>
      <w:lang w:val="en-GB"/>
    </w:rPr>
  </w:style>
  <w:style w:type="paragraph" w:styleId="Heading2">
    <w:name w:val="heading 2"/>
    <w:basedOn w:val="Normal"/>
    <w:next w:val="Normal"/>
    <w:link w:val="Heading2Char"/>
    <w:uiPriority w:val="99"/>
    <w:qFormat/>
    <w:rsid w:val="007A71D6"/>
    <w:pPr>
      <w:keepNext/>
      <w:numPr>
        <w:ilvl w:val="1"/>
        <w:numId w:val="1"/>
      </w:numPr>
      <w:spacing w:before="480" w:after="120" w:line="240" w:lineRule="auto"/>
      <w:jc w:val="left"/>
      <w:outlineLvl w:val="1"/>
    </w:pPr>
    <w:rPr>
      <w:rFonts w:ascii="Arial Bold" w:eastAsia="Times New Roman" w:hAnsi="Arial Bold" w:cs="Times New Roman"/>
      <w:b/>
      <w:i/>
      <w:smallCaps/>
      <w:color w:val="336600"/>
      <w:sz w:val="28"/>
      <w:lang w:val="en-GB"/>
    </w:rPr>
  </w:style>
  <w:style w:type="paragraph" w:styleId="Heading3">
    <w:name w:val="heading 3"/>
    <w:basedOn w:val="Normal"/>
    <w:next w:val="Normal"/>
    <w:link w:val="Heading3Char"/>
    <w:uiPriority w:val="99"/>
    <w:qFormat/>
    <w:rsid w:val="00102B13"/>
    <w:pPr>
      <w:keepNext/>
      <w:numPr>
        <w:ilvl w:val="2"/>
        <w:numId w:val="1"/>
      </w:numPr>
      <w:tabs>
        <w:tab w:val="left" w:pos="900"/>
      </w:tabs>
      <w:spacing w:before="360" w:after="120" w:line="240" w:lineRule="auto"/>
      <w:jc w:val="left"/>
      <w:outlineLvl w:val="2"/>
    </w:pPr>
    <w:rPr>
      <w:rFonts w:ascii="Arial Bold" w:eastAsia="Times New Roman" w:hAnsi="Arial Bold" w:cs="Times New Roman"/>
      <w:b/>
      <w:color w:val="993300"/>
      <w:sz w:val="25"/>
      <w:szCs w:val="20"/>
      <w:lang w:val="en-GB"/>
    </w:rPr>
  </w:style>
  <w:style w:type="paragraph" w:styleId="Heading4">
    <w:name w:val="heading 4"/>
    <w:basedOn w:val="Normal"/>
    <w:next w:val="Normal"/>
    <w:link w:val="Heading4Char"/>
    <w:uiPriority w:val="99"/>
    <w:qFormat/>
    <w:rsid w:val="0090690A"/>
    <w:pPr>
      <w:keepNext/>
      <w:numPr>
        <w:ilvl w:val="3"/>
        <w:numId w:val="1"/>
      </w:numPr>
      <w:tabs>
        <w:tab w:val="left" w:pos="1080"/>
      </w:tabs>
      <w:spacing w:before="360" w:after="120" w:line="240" w:lineRule="auto"/>
      <w:jc w:val="left"/>
      <w:outlineLvl w:val="3"/>
    </w:pPr>
    <w:rPr>
      <w:rFonts w:eastAsia="Times New Roman" w:cs="Times New Roman"/>
      <w:b/>
      <w:i/>
      <w:sz w:val="25"/>
      <w:szCs w:val="20"/>
      <w:lang w:val="en-GB"/>
    </w:rPr>
  </w:style>
  <w:style w:type="paragraph" w:styleId="Heading5">
    <w:name w:val="heading 5"/>
    <w:basedOn w:val="Normal"/>
    <w:next w:val="Normal"/>
    <w:link w:val="Heading5Char"/>
    <w:uiPriority w:val="99"/>
    <w:qFormat/>
    <w:rsid w:val="00193BFC"/>
    <w:pPr>
      <w:keepNext/>
      <w:numPr>
        <w:ilvl w:val="4"/>
        <w:numId w:val="1"/>
      </w:numPr>
      <w:tabs>
        <w:tab w:val="left" w:pos="1260"/>
      </w:tabs>
      <w:spacing w:before="320" w:after="100" w:line="240" w:lineRule="auto"/>
      <w:jc w:val="left"/>
      <w:outlineLvl w:val="4"/>
    </w:pPr>
    <w:rPr>
      <w:rFonts w:ascii="Arial Bold" w:eastAsia="Times New Roman" w:hAnsi="Arial Bold" w:cs="Times New Roman"/>
      <w:b/>
      <w:smallCaps/>
      <w:color w:val="996633"/>
      <w:szCs w:val="20"/>
      <w:u w:val="single"/>
      <w:lang w:val="en-GB"/>
    </w:rPr>
  </w:style>
  <w:style w:type="paragraph" w:styleId="Heading6">
    <w:name w:val="heading 6"/>
    <w:aliases w:val="Heading 6-Sub Heading No Number"/>
    <w:basedOn w:val="Normal"/>
    <w:next w:val="Normal"/>
    <w:link w:val="Heading6Char"/>
    <w:uiPriority w:val="99"/>
    <w:qFormat/>
    <w:rsid w:val="00275382"/>
    <w:pPr>
      <w:spacing w:before="240" w:after="120"/>
      <w:outlineLvl w:val="5"/>
    </w:pPr>
    <w:rPr>
      <w:rFonts w:ascii="Arial Bold" w:hAnsi="Arial Bold" w:cs="Arial"/>
      <w:b/>
      <w:sz w:val="24"/>
    </w:rPr>
  </w:style>
  <w:style w:type="paragraph" w:styleId="Heading7">
    <w:name w:val="heading 7"/>
    <w:basedOn w:val="Normal"/>
    <w:next w:val="Normal"/>
    <w:link w:val="Heading7Char"/>
    <w:uiPriority w:val="99"/>
    <w:qFormat/>
    <w:rsid w:val="00193BFC"/>
    <w:pPr>
      <w:keepNext/>
      <w:tabs>
        <w:tab w:val="left" w:pos="1296"/>
      </w:tabs>
      <w:spacing w:before="240" w:after="120" w:line="240" w:lineRule="auto"/>
      <w:outlineLvl w:val="6"/>
    </w:pPr>
    <w:rPr>
      <w:rFonts w:ascii="Arial Bold" w:eastAsia="Times New Roman" w:hAnsi="Arial Bold" w:cs="Arial"/>
      <w:b/>
      <w:i/>
      <w:color w:val="31849B" w:themeColor="accent5" w:themeShade="BF"/>
      <w:szCs w:val="20"/>
      <w:u w:val="single"/>
      <w:lang w:val="en-GB"/>
    </w:rPr>
  </w:style>
  <w:style w:type="paragraph" w:styleId="Heading8">
    <w:name w:val="heading 8"/>
    <w:basedOn w:val="Normal"/>
    <w:next w:val="Normal"/>
    <w:link w:val="Heading8Char"/>
    <w:uiPriority w:val="99"/>
    <w:qFormat/>
    <w:rsid w:val="0090690A"/>
    <w:pPr>
      <w:keepNext/>
      <w:spacing w:before="360" w:after="120"/>
      <w:ind w:left="317" w:hanging="317"/>
      <w:outlineLvl w:val="7"/>
    </w:pPr>
    <w:rPr>
      <w:rFonts w:ascii="Arial Bold" w:hAnsi="Arial Bold"/>
      <w:b/>
      <w:smallCaps/>
      <w:sz w:val="21"/>
      <w:szCs w:val="21"/>
      <w:u w:val="single"/>
    </w:rPr>
  </w:style>
  <w:style w:type="paragraph" w:styleId="Heading9">
    <w:name w:val="heading 9"/>
    <w:basedOn w:val="Normal"/>
    <w:next w:val="Normal"/>
    <w:link w:val="Heading9Char"/>
    <w:uiPriority w:val="99"/>
    <w:qFormat/>
    <w:rsid w:val="00885B2F"/>
    <w:pPr>
      <w:ind w:left="2160"/>
      <w:outlineLvl w:val="8"/>
    </w:pPr>
    <w:rPr>
      <w:rFonts w:ascii="Arial Bold" w:hAnsi="Arial Bold" w:cs="Arial"/>
      <w:b/>
      <w:i/>
      <w:color w:val="E36C0A" w:themeColor="accent6" w:themeShade="B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A71D6"/>
    <w:rPr>
      <w:rFonts w:ascii="Arial Bold" w:eastAsia="Times New Roman" w:hAnsi="Arial Bold" w:cs="Times New Roman"/>
      <w:b/>
      <w:caps/>
      <w:color w:val="0000CC"/>
      <w:kern w:val="28"/>
      <w:sz w:val="28"/>
      <w:lang w:val="en-GB"/>
    </w:rPr>
  </w:style>
  <w:style w:type="character" w:customStyle="1" w:styleId="Heading2Char">
    <w:name w:val="Heading 2 Char"/>
    <w:basedOn w:val="DefaultParagraphFont"/>
    <w:link w:val="Heading2"/>
    <w:uiPriority w:val="99"/>
    <w:rsid w:val="007A71D6"/>
    <w:rPr>
      <w:rFonts w:ascii="Arial Bold" w:eastAsia="Times New Roman" w:hAnsi="Arial Bold" w:cs="Times New Roman"/>
      <w:b/>
      <w:i/>
      <w:smallCaps/>
      <w:color w:val="336600"/>
      <w:sz w:val="28"/>
      <w:lang w:val="en-GB"/>
    </w:rPr>
  </w:style>
  <w:style w:type="character" w:customStyle="1" w:styleId="Heading3Char">
    <w:name w:val="Heading 3 Char"/>
    <w:basedOn w:val="DefaultParagraphFont"/>
    <w:link w:val="Heading3"/>
    <w:uiPriority w:val="99"/>
    <w:rsid w:val="00102B13"/>
    <w:rPr>
      <w:rFonts w:ascii="Arial Bold" w:eastAsia="Times New Roman" w:hAnsi="Arial Bold" w:cs="Times New Roman"/>
      <w:b/>
      <w:color w:val="993300"/>
      <w:sz w:val="25"/>
      <w:szCs w:val="20"/>
      <w:lang w:val="en-GB"/>
    </w:rPr>
  </w:style>
  <w:style w:type="character" w:customStyle="1" w:styleId="Heading4Char">
    <w:name w:val="Heading 4 Char"/>
    <w:basedOn w:val="DefaultParagraphFont"/>
    <w:link w:val="Heading4"/>
    <w:uiPriority w:val="99"/>
    <w:rsid w:val="0090690A"/>
    <w:rPr>
      <w:rFonts w:ascii="Arial" w:eastAsia="Times New Roman" w:hAnsi="Arial" w:cs="Times New Roman"/>
      <w:b/>
      <w:i/>
      <w:sz w:val="25"/>
      <w:szCs w:val="20"/>
      <w:lang w:val="en-GB"/>
    </w:rPr>
  </w:style>
  <w:style w:type="character" w:customStyle="1" w:styleId="Heading5Char">
    <w:name w:val="Heading 5 Char"/>
    <w:basedOn w:val="DefaultParagraphFont"/>
    <w:link w:val="Heading5"/>
    <w:uiPriority w:val="99"/>
    <w:rsid w:val="00193BFC"/>
    <w:rPr>
      <w:rFonts w:ascii="Arial Bold" w:eastAsia="Times New Roman" w:hAnsi="Arial Bold" w:cs="Times New Roman"/>
      <w:b/>
      <w:smallCaps/>
      <w:color w:val="996633"/>
      <w:szCs w:val="20"/>
      <w:u w:val="single"/>
      <w:lang w:val="en-GB"/>
    </w:rPr>
  </w:style>
  <w:style w:type="character" w:customStyle="1" w:styleId="Heading6Char">
    <w:name w:val="Heading 6 Char"/>
    <w:aliases w:val="Heading 6-Sub Heading No Number Char"/>
    <w:basedOn w:val="DefaultParagraphFont"/>
    <w:link w:val="Heading6"/>
    <w:uiPriority w:val="99"/>
    <w:rsid w:val="00275382"/>
    <w:rPr>
      <w:rFonts w:ascii="Arial Bold" w:hAnsi="Arial Bold" w:cs="Arial"/>
      <w:b/>
      <w:sz w:val="24"/>
    </w:rPr>
  </w:style>
  <w:style w:type="character" w:customStyle="1" w:styleId="Heading7Char">
    <w:name w:val="Heading 7 Char"/>
    <w:basedOn w:val="DefaultParagraphFont"/>
    <w:link w:val="Heading7"/>
    <w:uiPriority w:val="99"/>
    <w:rsid w:val="00193BFC"/>
    <w:rPr>
      <w:rFonts w:ascii="Arial Bold" w:eastAsia="Times New Roman" w:hAnsi="Arial Bold" w:cs="Arial"/>
      <w:b/>
      <w:i/>
      <w:color w:val="31849B" w:themeColor="accent5" w:themeShade="BF"/>
      <w:szCs w:val="20"/>
      <w:u w:val="single"/>
      <w:lang w:val="en-GB"/>
    </w:rPr>
  </w:style>
  <w:style w:type="character" w:customStyle="1" w:styleId="Heading8Char">
    <w:name w:val="Heading 8 Char"/>
    <w:basedOn w:val="DefaultParagraphFont"/>
    <w:link w:val="Heading8"/>
    <w:uiPriority w:val="99"/>
    <w:rsid w:val="0090690A"/>
    <w:rPr>
      <w:rFonts w:ascii="Arial Bold" w:hAnsi="Arial Bold"/>
      <w:b/>
      <w:smallCaps/>
      <w:sz w:val="21"/>
      <w:szCs w:val="21"/>
      <w:u w:val="single"/>
    </w:rPr>
  </w:style>
  <w:style w:type="character" w:customStyle="1" w:styleId="Heading9Char">
    <w:name w:val="Heading 9 Char"/>
    <w:basedOn w:val="DefaultParagraphFont"/>
    <w:link w:val="Heading9"/>
    <w:uiPriority w:val="99"/>
    <w:rsid w:val="00885B2F"/>
    <w:rPr>
      <w:rFonts w:ascii="Arial Bold" w:hAnsi="Arial Bold" w:cs="Arial"/>
      <w:b/>
      <w:i/>
      <w:color w:val="E36C0A" w:themeColor="accent6" w:themeShade="BF"/>
      <w:sz w:val="20"/>
      <w:u w:val="single"/>
    </w:rPr>
  </w:style>
  <w:style w:type="paragraph" w:styleId="TOCHeading">
    <w:name w:val="TOC Heading"/>
    <w:basedOn w:val="Heading1"/>
    <w:next w:val="Normal"/>
    <w:uiPriority w:val="39"/>
    <w:unhideWhenUsed/>
    <w:qFormat/>
    <w:rsid w:val="00F10EF2"/>
    <w:pPr>
      <w:keepLines/>
      <w:numPr>
        <w:numId w:val="0"/>
      </w:numPr>
      <w:spacing w:before="480" w:after="0" w:line="276" w:lineRule="auto"/>
      <w:jc w:val="center"/>
      <w:outlineLvl w:val="9"/>
    </w:pPr>
    <w:rPr>
      <w:rFonts w:ascii="Cambria" w:hAnsi="Cambria"/>
      <w:bCs/>
      <w:caps w:val="0"/>
      <w:color w:val="365F91"/>
      <w:kern w:val="0"/>
      <w:szCs w:val="28"/>
      <w:lang w:val="en-US"/>
    </w:rPr>
  </w:style>
  <w:style w:type="paragraph" w:styleId="BalloonText">
    <w:name w:val="Balloon Text"/>
    <w:basedOn w:val="Normal"/>
    <w:link w:val="BalloonTextChar"/>
    <w:uiPriority w:val="99"/>
    <w:semiHidden/>
    <w:unhideWhenUsed/>
    <w:rsid w:val="00C4221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214"/>
    <w:rPr>
      <w:rFonts w:ascii="Tahoma" w:hAnsi="Tahoma" w:cs="Tahoma"/>
      <w:sz w:val="16"/>
      <w:szCs w:val="16"/>
    </w:rPr>
  </w:style>
  <w:style w:type="character" w:styleId="PageNumber">
    <w:name w:val="page number"/>
    <w:basedOn w:val="DefaultParagraphFont"/>
    <w:rsid w:val="00C42214"/>
  </w:style>
  <w:style w:type="paragraph" w:customStyle="1" w:styleId="TableHeading">
    <w:name w:val="Table Heading"/>
    <w:basedOn w:val="Normal"/>
    <w:next w:val="Normal"/>
    <w:qFormat/>
    <w:rsid w:val="0068798C"/>
    <w:pPr>
      <w:keepNext/>
      <w:spacing w:after="120" w:line="240" w:lineRule="auto"/>
      <w:jc w:val="center"/>
    </w:pPr>
    <w:rPr>
      <w:rFonts w:eastAsia="Times New Roman" w:cs="Times New Roman"/>
      <w:b/>
      <w:sz w:val="20"/>
      <w:szCs w:val="20"/>
      <w:lang w:val="en-GB"/>
    </w:rPr>
  </w:style>
  <w:style w:type="paragraph" w:customStyle="1" w:styleId="TableCentre">
    <w:name w:val="Table Centre"/>
    <w:basedOn w:val="Normal"/>
    <w:next w:val="Normal"/>
    <w:qFormat/>
    <w:rsid w:val="00EA0BBB"/>
    <w:pPr>
      <w:spacing w:before="40" w:after="240" w:line="240" w:lineRule="auto"/>
      <w:jc w:val="center"/>
    </w:pPr>
    <w:rPr>
      <w:sz w:val="20"/>
    </w:rPr>
  </w:style>
  <w:style w:type="paragraph" w:styleId="TOC1">
    <w:name w:val="toc 1"/>
    <w:basedOn w:val="Normal"/>
    <w:next w:val="Normal"/>
    <w:autoRedefine/>
    <w:uiPriority w:val="39"/>
    <w:unhideWhenUsed/>
    <w:rsid w:val="00964B88"/>
    <w:pPr>
      <w:tabs>
        <w:tab w:val="left" w:pos="540"/>
        <w:tab w:val="right" w:leader="dot" w:pos="9350"/>
      </w:tabs>
      <w:spacing w:before="240" w:after="120" w:line="240" w:lineRule="auto"/>
      <w:ind w:left="360" w:hanging="360"/>
    </w:pPr>
    <w:rPr>
      <w:rFonts w:ascii="Arial Bold" w:hAnsi="Arial Bold"/>
      <w:b/>
      <w:caps/>
      <w:noProof/>
      <w:color w:val="336600"/>
      <w:sz w:val="24"/>
    </w:rPr>
  </w:style>
  <w:style w:type="paragraph" w:styleId="TOC2">
    <w:name w:val="toc 2"/>
    <w:basedOn w:val="Normal"/>
    <w:next w:val="Normal"/>
    <w:autoRedefine/>
    <w:uiPriority w:val="39"/>
    <w:unhideWhenUsed/>
    <w:rsid w:val="00964B88"/>
    <w:pPr>
      <w:tabs>
        <w:tab w:val="left" w:pos="1267"/>
        <w:tab w:val="right" w:leader="dot" w:pos="9350"/>
      </w:tabs>
      <w:spacing w:before="60" w:after="120" w:line="240" w:lineRule="auto"/>
      <w:ind w:left="720" w:hanging="360"/>
    </w:pPr>
    <w:rPr>
      <w:b/>
      <w:noProof/>
    </w:rPr>
  </w:style>
  <w:style w:type="paragraph" w:styleId="TOC3">
    <w:name w:val="toc 3"/>
    <w:basedOn w:val="Normal"/>
    <w:next w:val="Normal"/>
    <w:autoRedefine/>
    <w:uiPriority w:val="39"/>
    <w:unhideWhenUsed/>
    <w:rsid w:val="00CC1C45"/>
    <w:pPr>
      <w:tabs>
        <w:tab w:val="left" w:pos="2070"/>
        <w:tab w:val="right" w:leader="dot" w:pos="9350"/>
      </w:tabs>
      <w:spacing w:before="40" w:after="80" w:line="240" w:lineRule="auto"/>
      <w:ind w:left="1440" w:hanging="720"/>
    </w:pPr>
    <w:rPr>
      <w:rFonts w:asciiTheme="minorHAnsi" w:eastAsiaTheme="minorEastAsia" w:hAnsiTheme="minorHAnsi"/>
      <w:i/>
      <w:noProof/>
      <w:lang w:val="en-US"/>
    </w:rPr>
  </w:style>
  <w:style w:type="paragraph" w:styleId="TOC4">
    <w:name w:val="toc 4"/>
    <w:basedOn w:val="Normal"/>
    <w:next w:val="Normal"/>
    <w:autoRedefine/>
    <w:uiPriority w:val="39"/>
    <w:unhideWhenUsed/>
    <w:rsid w:val="00964B88"/>
    <w:pPr>
      <w:tabs>
        <w:tab w:val="left" w:pos="2250"/>
        <w:tab w:val="right" w:leader="dot" w:pos="9360"/>
      </w:tabs>
      <w:spacing w:before="40" w:after="80"/>
      <w:ind w:left="2073" w:right="720" w:hanging="806"/>
    </w:pPr>
    <w:rPr>
      <w:rFonts w:eastAsiaTheme="minorEastAsia"/>
      <w:noProof/>
      <w:sz w:val="20"/>
      <w:lang w:eastAsia="en-CA"/>
    </w:rPr>
  </w:style>
  <w:style w:type="character" w:styleId="Hyperlink">
    <w:name w:val="Hyperlink"/>
    <w:basedOn w:val="DefaultParagraphFont"/>
    <w:uiPriority w:val="99"/>
    <w:unhideWhenUsed/>
    <w:rsid w:val="00A66062"/>
    <w:rPr>
      <w:color w:val="0000FF" w:themeColor="hyperlink"/>
      <w:u w:val="single"/>
    </w:rPr>
  </w:style>
  <w:style w:type="paragraph" w:customStyle="1" w:styleId="FigureHeading">
    <w:name w:val="Figure Heading"/>
    <w:basedOn w:val="TableHeading"/>
    <w:next w:val="Normal"/>
    <w:uiPriority w:val="99"/>
    <w:qFormat/>
    <w:rsid w:val="0068798C"/>
  </w:style>
  <w:style w:type="paragraph" w:customStyle="1" w:styleId="FigureCentre">
    <w:name w:val="Figure Centre"/>
    <w:basedOn w:val="TableCentre"/>
    <w:next w:val="Normal"/>
    <w:uiPriority w:val="99"/>
    <w:qFormat/>
    <w:rsid w:val="00F32604"/>
  </w:style>
  <w:style w:type="paragraph" w:styleId="FootnoteText">
    <w:name w:val="footnote text"/>
    <w:basedOn w:val="Normal"/>
    <w:link w:val="FootnoteTextChar"/>
    <w:uiPriority w:val="99"/>
    <w:unhideWhenUsed/>
    <w:rsid w:val="00DE1635"/>
    <w:pPr>
      <w:spacing w:before="20" w:after="20" w:line="240" w:lineRule="auto"/>
      <w:ind w:left="230" w:hanging="230"/>
    </w:pPr>
    <w:rPr>
      <w:sz w:val="18"/>
    </w:rPr>
  </w:style>
  <w:style w:type="character" w:customStyle="1" w:styleId="FootnoteTextChar">
    <w:name w:val="Footnote Text Char"/>
    <w:basedOn w:val="DefaultParagraphFont"/>
    <w:link w:val="FootnoteText"/>
    <w:uiPriority w:val="99"/>
    <w:rsid w:val="00DE1635"/>
    <w:rPr>
      <w:rFonts w:ascii="Arial" w:hAnsi="Arial"/>
      <w:sz w:val="18"/>
    </w:rPr>
  </w:style>
  <w:style w:type="character" w:styleId="FootnoteReference">
    <w:name w:val="footnote reference"/>
    <w:basedOn w:val="DefaultParagraphFont"/>
    <w:uiPriority w:val="99"/>
    <w:unhideWhenUsed/>
    <w:rsid w:val="0068798C"/>
    <w:rPr>
      <w:vertAlign w:val="superscript"/>
    </w:rPr>
  </w:style>
  <w:style w:type="paragraph" w:customStyle="1" w:styleId="ListBullet1">
    <w:name w:val="List Bullet 1"/>
    <w:basedOn w:val="Normal"/>
    <w:uiPriority w:val="99"/>
    <w:qFormat/>
    <w:rsid w:val="007A71D6"/>
    <w:pPr>
      <w:numPr>
        <w:numId w:val="6"/>
      </w:numPr>
      <w:spacing w:after="120"/>
    </w:pPr>
    <w:rPr>
      <w:lang w:val="en-GB"/>
    </w:rPr>
  </w:style>
  <w:style w:type="paragraph" w:styleId="ListParagraph">
    <w:name w:val="List Paragraph"/>
    <w:basedOn w:val="Normal"/>
    <w:uiPriority w:val="34"/>
    <w:qFormat/>
    <w:rsid w:val="00D14303"/>
    <w:pPr>
      <w:ind w:left="720"/>
      <w:contextualSpacing/>
    </w:pPr>
  </w:style>
  <w:style w:type="paragraph" w:styleId="ListBullet2">
    <w:name w:val="List Bullet 2"/>
    <w:basedOn w:val="ListBullet1"/>
    <w:uiPriority w:val="99"/>
    <w:unhideWhenUsed/>
    <w:rsid w:val="0054077C"/>
    <w:pPr>
      <w:numPr>
        <w:numId w:val="12"/>
      </w:numPr>
    </w:pPr>
  </w:style>
  <w:style w:type="paragraph" w:styleId="ListNumber">
    <w:name w:val="List Number"/>
    <w:basedOn w:val="Normal"/>
    <w:uiPriority w:val="99"/>
    <w:unhideWhenUsed/>
    <w:rsid w:val="00474A63"/>
    <w:pPr>
      <w:numPr>
        <w:numId w:val="2"/>
      </w:numPr>
      <w:tabs>
        <w:tab w:val="clear" w:pos="360"/>
        <w:tab w:val="num" w:pos="720"/>
      </w:tabs>
      <w:spacing w:after="120"/>
      <w:ind w:left="720"/>
    </w:pPr>
  </w:style>
  <w:style w:type="paragraph" w:styleId="ListNumber2">
    <w:name w:val="List Number 2"/>
    <w:basedOn w:val="Normal"/>
    <w:uiPriority w:val="99"/>
    <w:unhideWhenUsed/>
    <w:rsid w:val="00AC750B"/>
    <w:pPr>
      <w:numPr>
        <w:numId w:val="15"/>
      </w:numPr>
    </w:pPr>
    <w:rPr>
      <w:i/>
      <w:lang w:val="en-US"/>
    </w:rPr>
  </w:style>
  <w:style w:type="paragraph" w:customStyle="1" w:styleId="ListAlpha">
    <w:name w:val="List Alpha"/>
    <w:basedOn w:val="ListParagraph"/>
    <w:uiPriority w:val="99"/>
    <w:qFormat/>
    <w:rsid w:val="00474A63"/>
    <w:pPr>
      <w:numPr>
        <w:numId w:val="4"/>
      </w:numPr>
      <w:spacing w:after="120"/>
      <w:contextualSpacing w:val="0"/>
    </w:pPr>
  </w:style>
  <w:style w:type="paragraph" w:styleId="Footer">
    <w:name w:val="footer"/>
    <w:basedOn w:val="Normal"/>
    <w:link w:val="FooterChar"/>
    <w:uiPriority w:val="99"/>
    <w:unhideWhenUsed/>
    <w:rsid w:val="00DC2C91"/>
    <w:pPr>
      <w:tabs>
        <w:tab w:val="center" w:pos="4680"/>
        <w:tab w:val="right" w:pos="9360"/>
      </w:tabs>
      <w:spacing w:line="240" w:lineRule="auto"/>
    </w:pPr>
  </w:style>
  <w:style w:type="character" w:customStyle="1" w:styleId="FooterChar">
    <w:name w:val="Footer Char"/>
    <w:basedOn w:val="DefaultParagraphFont"/>
    <w:link w:val="Footer"/>
    <w:uiPriority w:val="99"/>
    <w:rsid w:val="00DC2C91"/>
    <w:rPr>
      <w:rFonts w:ascii="Arial" w:hAnsi="Arial"/>
    </w:rPr>
  </w:style>
  <w:style w:type="paragraph" w:customStyle="1" w:styleId="FooterSection">
    <w:name w:val="Footer Section"/>
    <w:basedOn w:val="Normal"/>
    <w:qFormat/>
    <w:rsid w:val="00DC2C91"/>
    <w:pPr>
      <w:pBdr>
        <w:top w:val="single" w:sz="4" w:space="1" w:color="auto"/>
      </w:pBdr>
      <w:tabs>
        <w:tab w:val="right" w:pos="9360"/>
        <w:tab w:val="left" w:pos="12060"/>
      </w:tabs>
      <w:spacing w:before="60" w:line="240" w:lineRule="auto"/>
      <w:jc w:val="left"/>
    </w:pPr>
    <w:rPr>
      <w:rFonts w:cs="Arial"/>
      <w:smallCaps/>
      <w:sz w:val="18"/>
      <w:szCs w:val="18"/>
    </w:rPr>
  </w:style>
  <w:style w:type="paragraph" w:customStyle="1" w:styleId="HeaderLine1">
    <w:name w:val="Header Line 1"/>
    <w:basedOn w:val="Normal"/>
    <w:qFormat/>
    <w:rsid w:val="00DC2C91"/>
    <w:pPr>
      <w:pBdr>
        <w:bottom w:val="single" w:sz="4" w:space="1" w:color="auto"/>
      </w:pBdr>
    </w:pPr>
    <w:rPr>
      <w:rFonts w:cs="Arial"/>
      <w:b/>
      <w:smallCaps/>
    </w:rPr>
  </w:style>
  <w:style w:type="paragraph" w:customStyle="1" w:styleId="HeaderLine2">
    <w:name w:val="Header Line 2"/>
    <w:basedOn w:val="Normal"/>
    <w:qFormat/>
    <w:rsid w:val="002A7EC3"/>
    <w:pPr>
      <w:pBdr>
        <w:bottom w:val="single" w:sz="4" w:space="1" w:color="auto"/>
      </w:pBdr>
    </w:pPr>
    <w:rPr>
      <w:rFonts w:cs="Arial"/>
      <w:smallCaps/>
      <w:sz w:val="20"/>
    </w:rPr>
  </w:style>
  <w:style w:type="character" w:styleId="CommentReference">
    <w:name w:val="annotation reference"/>
    <w:basedOn w:val="DefaultParagraphFont"/>
    <w:uiPriority w:val="99"/>
    <w:unhideWhenUsed/>
    <w:rsid w:val="00463D97"/>
    <w:rPr>
      <w:sz w:val="16"/>
      <w:szCs w:val="16"/>
    </w:rPr>
  </w:style>
  <w:style w:type="paragraph" w:styleId="CommentText">
    <w:name w:val="annotation text"/>
    <w:basedOn w:val="Normal"/>
    <w:link w:val="CommentTextChar"/>
    <w:uiPriority w:val="99"/>
    <w:unhideWhenUsed/>
    <w:rsid w:val="00463D97"/>
    <w:pPr>
      <w:spacing w:line="240" w:lineRule="auto"/>
      <w:jc w:val="left"/>
    </w:pPr>
    <w:rPr>
      <w:rFonts w:eastAsia="Times New Roman" w:cs="Arial"/>
      <w:sz w:val="20"/>
      <w:szCs w:val="20"/>
    </w:rPr>
  </w:style>
  <w:style w:type="character" w:customStyle="1" w:styleId="CommentTextChar">
    <w:name w:val="Comment Text Char"/>
    <w:basedOn w:val="DefaultParagraphFont"/>
    <w:link w:val="CommentText"/>
    <w:uiPriority w:val="99"/>
    <w:rsid w:val="00463D97"/>
    <w:rPr>
      <w:rFonts w:ascii="Arial" w:eastAsia="Times New Roman" w:hAnsi="Arial" w:cs="Arial"/>
      <w:sz w:val="20"/>
      <w:szCs w:val="20"/>
    </w:rPr>
  </w:style>
  <w:style w:type="paragraph" w:styleId="Header">
    <w:name w:val="header"/>
    <w:basedOn w:val="Normal"/>
    <w:link w:val="HeaderChar"/>
    <w:uiPriority w:val="99"/>
    <w:unhideWhenUsed/>
    <w:rsid w:val="00463D97"/>
    <w:pPr>
      <w:tabs>
        <w:tab w:val="center" w:pos="4680"/>
        <w:tab w:val="right" w:pos="9360"/>
      </w:tabs>
      <w:spacing w:line="240" w:lineRule="auto"/>
    </w:pPr>
  </w:style>
  <w:style w:type="character" w:customStyle="1" w:styleId="HeaderChar">
    <w:name w:val="Header Char"/>
    <w:basedOn w:val="DefaultParagraphFont"/>
    <w:link w:val="Header"/>
    <w:uiPriority w:val="99"/>
    <w:rsid w:val="00463D97"/>
    <w:rPr>
      <w:rFonts w:ascii="Arial" w:hAnsi="Arial"/>
    </w:rPr>
  </w:style>
  <w:style w:type="character" w:styleId="LineNumber">
    <w:name w:val="line number"/>
    <w:basedOn w:val="DefaultParagraphFont"/>
    <w:uiPriority w:val="99"/>
    <w:semiHidden/>
    <w:unhideWhenUsed/>
    <w:rsid w:val="00C3223B"/>
  </w:style>
  <w:style w:type="paragraph" w:customStyle="1" w:styleId="HEADINGTAB">
    <w:name w:val="HEADING TAB"/>
    <w:basedOn w:val="Normal"/>
    <w:next w:val="Normal"/>
    <w:uiPriority w:val="99"/>
    <w:qFormat/>
    <w:rsid w:val="00825EA9"/>
    <w:pPr>
      <w:numPr>
        <w:numId w:val="5"/>
      </w:numPr>
      <w:pBdr>
        <w:top w:val="dotted" w:sz="4" w:space="1" w:color="auto"/>
        <w:left w:val="dotted" w:sz="4" w:space="4" w:color="auto"/>
        <w:bottom w:val="dotted" w:sz="4" w:space="1" w:color="auto"/>
        <w:right w:val="dotted" w:sz="4" w:space="4" w:color="auto"/>
      </w:pBdr>
      <w:shd w:val="clear" w:color="auto" w:fill="DBE5F1" w:themeFill="accent1" w:themeFillTint="33"/>
      <w:tabs>
        <w:tab w:val="left" w:pos="720"/>
      </w:tabs>
      <w:spacing w:before="120" w:after="480"/>
    </w:pPr>
    <w:rPr>
      <w:rFonts w:ascii="Arial Bold" w:hAnsi="Arial Bold"/>
      <w:b/>
      <w:i/>
      <w:caps/>
      <w:color w:val="006600"/>
      <w:sz w:val="32"/>
    </w:rPr>
  </w:style>
  <w:style w:type="paragraph" w:styleId="NormalWeb">
    <w:name w:val="Normal (Web)"/>
    <w:basedOn w:val="Normal"/>
    <w:uiPriority w:val="99"/>
    <w:unhideWhenUsed/>
    <w:rsid w:val="004D2488"/>
    <w:pPr>
      <w:spacing w:before="100" w:beforeAutospacing="1" w:after="199" w:line="320" w:lineRule="atLeast"/>
      <w:jc w:val="left"/>
    </w:pPr>
    <w:rPr>
      <w:rFonts w:ascii="Times New Roman" w:eastAsia="Times New Roman" w:hAnsi="Times New Roman" w:cs="Times New Roman"/>
      <w:sz w:val="24"/>
      <w:szCs w:val="24"/>
      <w:lang w:eastAsia="en-CA"/>
    </w:rPr>
  </w:style>
  <w:style w:type="paragraph" w:styleId="CommentSubject">
    <w:name w:val="annotation subject"/>
    <w:basedOn w:val="CommentText"/>
    <w:next w:val="CommentText"/>
    <w:link w:val="CommentSubjectChar"/>
    <w:uiPriority w:val="99"/>
    <w:semiHidden/>
    <w:unhideWhenUsed/>
    <w:rsid w:val="0015213D"/>
    <w:pPr>
      <w:jc w:val="both"/>
    </w:pPr>
    <w:rPr>
      <w:rFonts w:eastAsiaTheme="minorHAnsi" w:cstheme="minorBidi"/>
      <w:b/>
      <w:bCs/>
    </w:rPr>
  </w:style>
  <w:style w:type="character" w:customStyle="1" w:styleId="CommentSubjectChar">
    <w:name w:val="Comment Subject Char"/>
    <w:basedOn w:val="CommentTextChar"/>
    <w:link w:val="CommentSubject"/>
    <w:uiPriority w:val="99"/>
    <w:semiHidden/>
    <w:rsid w:val="0015213D"/>
    <w:rPr>
      <w:rFonts w:ascii="Arial" w:eastAsia="Times New Roman" w:hAnsi="Arial" w:cs="Arial"/>
      <w:b/>
      <w:bCs/>
      <w:sz w:val="20"/>
      <w:szCs w:val="20"/>
    </w:rPr>
  </w:style>
  <w:style w:type="paragraph" w:styleId="NoSpacing">
    <w:name w:val="No Spacing"/>
    <w:uiPriority w:val="1"/>
    <w:qFormat/>
    <w:rsid w:val="0015213D"/>
    <w:pPr>
      <w:spacing w:after="0" w:line="240" w:lineRule="auto"/>
      <w:jc w:val="both"/>
    </w:pPr>
    <w:rPr>
      <w:rFonts w:ascii="Arial" w:hAnsi="Arial"/>
    </w:rPr>
  </w:style>
  <w:style w:type="table" w:styleId="TableGrid">
    <w:name w:val="Table Grid"/>
    <w:basedOn w:val="TableNormal"/>
    <w:uiPriority w:val="59"/>
    <w:rsid w:val="001521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
    <w:name w:val="Note"/>
    <w:basedOn w:val="ListBullet1"/>
    <w:qFormat/>
    <w:rsid w:val="007A71D6"/>
    <w:pPr>
      <w:numPr>
        <w:numId w:val="0"/>
      </w:numPr>
      <w:ind w:left="187" w:hanging="187"/>
    </w:pPr>
    <w:rPr>
      <w:sz w:val="18"/>
      <w:szCs w:val="18"/>
    </w:rPr>
  </w:style>
  <w:style w:type="paragraph" w:customStyle="1" w:styleId="NormalSingle">
    <w:name w:val="Normal Single"/>
    <w:basedOn w:val="Normal"/>
    <w:uiPriority w:val="99"/>
    <w:rsid w:val="007A71D6"/>
    <w:pPr>
      <w:spacing w:line="240" w:lineRule="auto"/>
    </w:pPr>
    <w:rPr>
      <w:rFonts w:eastAsia="Times New Roman" w:cs="Arial"/>
      <w:szCs w:val="20"/>
    </w:rPr>
  </w:style>
  <w:style w:type="paragraph" w:styleId="EndnoteText">
    <w:name w:val="endnote text"/>
    <w:basedOn w:val="Normal"/>
    <w:link w:val="EndnoteTextChar"/>
    <w:uiPriority w:val="99"/>
    <w:semiHidden/>
    <w:rsid w:val="007A71D6"/>
    <w:pPr>
      <w:spacing w:line="240" w:lineRule="auto"/>
    </w:pPr>
    <w:rPr>
      <w:rFonts w:eastAsia="Calibri" w:cs="Times New Roman"/>
      <w:sz w:val="20"/>
      <w:szCs w:val="20"/>
    </w:rPr>
  </w:style>
  <w:style w:type="character" w:customStyle="1" w:styleId="EndnoteTextChar">
    <w:name w:val="Endnote Text Char"/>
    <w:basedOn w:val="DefaultParagraphFont"/>
    <w:link w:val="EndnoteText"/>
    <w:uiPriority w:val="99"/>
    <w:semiHidden/>
    <w:rsid w:val="007A71D6"/>
    <w:rPr>
      <w:rFonts w:ascii="Arial" w:eastAsia="Calibri" w:hAnsi="Arial" w:cs="Times New Roman"/>
      <w:sz w:val="20"/>
      <w:szCs w:val="20"/>
    </w:rPr>
  </w:style>
  <w:style w:type="character" w:styleId="EndnoteReference">
    <w:name w:val="endnote reference"/>
    <w:basedOn w:val="DefaultParagraphFont"/>
    <w:uiPriority w:val="99"/>
    <w:semiHidden/>
    <w:rsid w:val="007A71D6"/>
    <w:rPr>
      <w:rFonts w:cs="Times New Roman"/>
      <w:vertAlign w:val="superscript"/>
    </w:rPr>
  </w:style>
  <w:style w:type="paragraph" w:styleId="ListBullet">
    <w:name w:val="List Bullet"/>
    <w:basedOn w:val="Normal"/>
    <w:uiPriority w:val="99"/>
    <w:unhideWhenUsed/>
    <w:rsid w:val="007A71D6"/>
    <w:pPr>
      <w:tabs>
        <w:tab w:val="num" w:pos="360"/>
      </w:tabs>
      <w:ind w:left="360" w:hanging="360"/>
      <w:contextualSpacing/>
    </w:pPr>
    <w:rPr>
      <w:rFonts w:eastAsia="Calibri" w:cs="Times New Roman"/>
    </w:rPr>
  </w:style>
  <w:style w:type="paragraph" w:styleId="Revision">
    <w:name w:val="Revision"/>
    <w:hidden/>
    <w:uiPriority w:val="99"/>
    <w:semiHidden/>
    <w:rsid w:val="006D2FE1"/>
    <w:pPr>
      <w:spacing w:after="0" w:line="240" w:lineRule="auto"/>
    </w:pPr>
    <w:rPr>
      <w:rFonts w:ascii="Arial" w:hAnsi="Arial"/>
    </w:rPr>
  </w:style>
  <w:style w:type="table" w:styleId="LightList-Accent1">
    <w:name w:val="Light List Accent 1"/>
    <w:basedOn w:val="TableNormal"/>
    <w:uiPriority w:val="61"/>
    <w:rsid w:val="00D62D06"/>
    <w:pPr>
      <w:spacing w:after="0" w:line="240" w:lineRule="auto"/>
    </w:pPr>
    <w:rPr>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D62D06"/>
    <w:pPr>
      <w:spacing w:after="0" w:line="240" w:lineRule="auto"/>
    </w:pPr>
    <w:rPr>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Default">
    <w:name w:val="Default"/>
    <w:rsid w:val="005A70EC"/>
    <w:pPr>
      <w:autoSpaceDE w:val="0"/>
      <w:autoSpaceDN w:val="0"/>
      <w:adjustRightInd w:val="0"/>
      <w:spacing w:before="240" w:after="0" w:line="240" w:lineRule="auto"/>
      <w:jc w:val="both"/>
    </w:pPr>
    <w:rPr>
      <w:rFonts w:ascii="Verdana" w:hAnsi="Verdana" w:cs="Verdana"/>
      <w:color w:val="000000"/>
      <w:sz w:val="24"/>
      <w:szCs w:val="24"/>
    </w:rPr>
  </w:style>
  <w:style w:type="paragraph" w:customStyle="1" w:styleId="Heading1ExecSumm">
    <w:name w:val="Heading 1 Exec Summ"/>
    <w:basedOn w:val="Heading1"/>
    <w:link w:val="Heading1ExecSummChar"/>
    <w:qFormat/>
    <w:rsid w:val="005A70EC"/>
    <w:pPr>
      <w:numPr>
        <w:numId w:val="0"/>
      </w:numPr>
      <w:ind w:left="540" w:hanging="540"/>
    </w:pPr>
  </w:style>
  <w:style w:type="character" w:customStyle="1" w:styleId="Heading1ExecSummChar">
    <w:name w:val="Heading 1 Exec Summ Char"/>
    <w:basedOn w:val="Heading1Char"/>
    <w:link w:val="Heading1ExecSumm"/>
    <w:rsid w:val="005A70EC"/>
    <w:rPr>
      <w:rFonts w:ascii="Arial Bold" w:eastAsia="Times New Roman" w:hAnsi="Arial Bold" w:cs="Times New Roman"/>
      <w:b/>
      <w:caps/>
      <w:color w:val="0000CC"/>
      <w:kern w:val="28"/>
      <w:sz w:val="28"/>
      <w:lang w:val="en-GB"/>
    </w:rPr>
  </w:style>
  <w:style w:type="table" w:customStyle="1" w:styleId="LightList-Accent11">
    <w:name w:val="Light List - Accent 11"/>
    <w:basedOn w:val="TableNormal"/>
    <w:uiPriority w:val="61"/>
    <w:rsid w:val="005A70EC"/>
    <w:pPr>
      <w:spacing w:before="240"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able1">
    <w:name w:val="Table 1"/>
    <w:basedOn w:val="Normal"/>
    <w:link w:val="Table1Char"/>
    <w:qFormat/>
    <w:rsid w:val="00671932"/>
    <w:pPr>
      <w:spacing w:before="45" w:after="45" w:line="240" w:lineRule="auto"/>
      <w:jc w:val="center"/>
    </w:pPr>
    <w:rPr>
      <w:rFonts w:cstheme="minorHAnsi"/>
      <w:color w:val="000000"/>
      <w:sz w:val="18"/>
    </w:rPr>
  </w:style>
  <w:style w:type="character" w:customStyle="1" w:styleId="Table1Char">
    <w:name w:val="Table 1 Char"/>
    <w:basedOn w:val="DefaultParagraphFont"/>
    <w:link w:val="Table1"/>
    <w:rsid w:val="00671932"/>
    <w:rPr>
      <w:rFonts w:ascii="Arial" w:hAnsi="Arial" w:cstheme="minorHAnsi"/>
      <w:color w:val="000000"/>
      <w:sz w:val="18"/>
    </w:rPr>
  </w:style>
  <w:style w:type="paragraph" w:styleId="Caption">
    <w:name w:val="caption"/>
    <w:basedOn w:val="Normal"/>
    <w:next w:val="Normal"/>
    <w:uiPriority w:val="9"/>
    <w:unhideWhenUsed/>
    <w:qFormat/>
    <w:rsid w:val="0089011E"/>
    <w:pPr>
      <w:spacing w:before="240" w:line="240" w:lineRule="auto"/>
      <w:jc w:val="center"/>
    </w:pPr>
    <w:rPr>
      <w:rFonts w:asciiTheme="minorHAnsi" w:hAnsiTheme="minorHAnsi"/>
      <w:b/>
      <w:bCs/>
      <w:color w:val="4F81BD" w:themeColor="accent1"/>
      <w:sz w:val="20"/>
      <w:szCs w:val="18"/>
    </w:rPr>
  </w:style>
  <w:style w:type="paragraph" w:styleId="TableofFigures">
    <w:name w:val="table of figures"/>
    <w:basedOn w:val="Normal"/>
    <w:next w:val="Normal"/>
    <w:uiPriority w:val="99"/>
    <w:unhideWhenUsed/>
    <w:rsid w:val="00C428D9"/>
    <w:pPr>
      <w:spacing w:after="0"/>
    </w:pPr>
  </w:style>
  <w:style w:type="character" w:styleId="FollowedHyperlink">
    <w:name w:val="FollowedHyperlink"/>
    <w:basedOn w:val="DefaultParagraphFont"/>
    <w:uiPriority w:val="99"/>
    <w:semiHidden/>
    <w:unhideWhenUsed/>
    <w:rsid w:val="00062C5E"/>
    <w:rPr>
      <w:color w:val="800080" w:themeColor="followedHyperlink"/>
      <w:u w:val="single"/>
    </w:rPr>
  </w:style>
  <w:style w:type="table" w:customStyle="1" w:styleId="LightList-Accent111">
    <w:name w:val="Light List - Accent 111"/>
    <w:basedOn w:val="TableNormal"/>
    <w:uiPriority w:val="61"/>
    <w:rsid w:val="009B38FB"/>
    <w:pPr>
      <w:spacing w:before="240" w:after="0" w:line="240" w:lineRule="auto"/>
      <w:jc w:val="both"/>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94396">
      <w:bodyDiv w:val="1"/>
      <w:marLeft w:val="0"/>
      <w:marRight w:val="0"/>
      <w:marTop w:val="0"/>
      <w:marBottom w:val="0"/>
      <w:divBdr>
        <w:top w:val="none" w:sz="0" w:space="0" w:color="auto"/>
        <w:left w:val="none" w:sz="0" w:space="0" w:color="auto"/>
        <w:bottom w:val="none" w:sz="0" w:space="0" w:color="auto"/>
        <w:right w:val="none" w:sz="0" w:space="0" w:color="auto"/>
      </w:divBdr>
    </w:div>
    <w:div w:id="509949312">
      <w:bodyDiv w:val="1"/>
      <w:marLeft w:val="0"/>
      <w:marRight w:val="0"/>
      <w:marTop w:val="0"/>
      <w:marBottom w:val="0"/>
      <w:divBdr>
        <w:top w:val="none" w:sz="0" w:space="0" w:color="auto"/>
        <w:left w:val="none" w:sz="0" w:space="0" w:color="auto"/>
        <w:bottom w:val="none" w:sz="0" w:space="0" w:color="auto"/>
        <w:right w:val="none" w:sz="0" w:space="0" w:color="auto"/>
      </w:divBdr>
    </w:div>
    <w:div w:id="650253866">
      <w:bodyDiv w:val="1"/>
      <w:marLeft w:val="0"/>
      <w:marRight w:val="0"/>
      <w:marTop w:val="0"/>
      <w:marBottom w:val="0"/>
      <w:divBdr>
        <w:top w:val="none" w:sz="0" w:space="0" w:color="auto"/>
        <w:left w:val="none" w:sz="0" w:space="0" w:color="auto"/>
        <w:bottom w:val="none" w:sz="0" w:space="0" w:color="auto"/>
        <w:right w:val="none" w:sz="0" w:space="0" w:color="auto"/>
      </w:divBdr>
    </w:div>
    <w:div w:id="1064134558">
      <w:bodyDiv w:val="1"/>
      <w:marLeft w:val="0"/>
      <w:marRight w:val="0"/>
      <w:marTop w:val="0"/>
      <w:marBottom w:val="0"/>
      <w:divBdr>
        <w:top w:val="none" w:sz="0" w:space="0" w:color="auto"/>
        <w:left w:val="none" w:sz="0" w:space="0" w:color="auto"/>
        <w:bottom w:val="none" w:sz="0" w:space="0" w:color="auto"/>
        <w:right w:val="none" w:sz="0" w:space="0" w:color="auto"/>
      </w:divBdr>
    </w:div>
    <w:div w:id="137010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image" Target="media/image16.emf"/><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image" Target="media/image15.emf"/><Relationship Id="rId42" Type="http://schemas.openxmlformats.org/officeDocument/2006/relationships/header" Target="header7.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4.emf"/><Relationship Id="rId38" Type="http://schemas.openxmlformats.org/officeDocument/2006/relationships/footer" Target="footer7.xm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image" Target="media/image11.emf"/><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2.xml"/><Relationship Id="rId32" Type="http://schemas.openxmlformats.org/officeDocument/2006/relationships/image" Target="media/image13.emf"/><Relationship Id="rId37" Type="http://schemas.openxmlformats.org/officeDocument/2006/relationships/header" Target="header5.xml"/><Relationship Id="rId40" Type="http://schemas.openxmlformats.org/officeDocument/2006/relationships/header" Target="header6.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emf"/><Relationship Id="rId23" Type="http://schemas.openxmlformats.org/officeDocument/2006/relationships/package" Target="embeddings/Microsoft_Word_Document1.docx"/><Relationship Id="rId28" Type="http://schemas.openxmlformats.org/officeDocument/2006/relationships/image" Target="media/image10.emf"/><Relationship Id="rId36"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image" Target="media/image5.emf"/><Relationship Id="rId31" Type="http://schemas.openxmlformats.org/officeDocument/2006/relationships/header" Target="header3.xml"/><Relationship Id="rId44"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image" Target="media/image9.emf"/><Relationship Id="rId30" Type="http://schemas.openxmlformats.org/officeDocument/2006/relationships/image" Target="media/image12.emf"/><Relationship Id="rId35" Type="http://schemas.openxmlformats.org/officeDocument/2006/relationships/header" Target="header4.xml"/><Relationship Id="rId43" Type="http://schemas.openxmlformats.org/officeDocument/2006/relationships/footer" Target="footer9.xml"/></Relationships>
</file>

<file path=word/_rels/footnotes.xml.rels><?xml version="1.0" encoding="UTF-8" standalone="yes"?>
<Relationships xmlns="http://schemas.openxmlformats.org/package/2006/relationships"><Relationship Id="rId8" Type="http://schemas.openxmlformats.org/officeDocument/2006/relationships/hyperlink" Target="http://www.idahopower.com/pdfs/AboutUs/PlanningForFuture/irp/2011/2011IRPFINAL.pdf" TargetMode="External"/><Relationship Id="rId13" Type="http://schemas.openxmlformats.org/officeDocument/2006/relationships/hyperlink" Target="http://www.nwcouncil.org/energy/resource/Adequacy%20Standard%20Background%20(2008-07a).pdf" TargetMode="External"/><Relationship Id="rId3" Type="http://schemas.openxmlformats.org/officeDocument/2006/relationships/hyperlink" Target="http://www.nerc.com/files/BAL-002-0.pdf" TargetMode="External"/><Relationship Id="rId7" Type="http://schemas.openxmlformats.org/officeDocument/2006/relationships/hyperlink" Target="http://www.avistautilities.com/inside/resources/irp/electric/Documents/2011%20Electric%20IRP.pdf" TargetMode="External"/><Relationship Id="rId12" Type="http://schemas.openxmlformats.org/officeDocument/2006/relationships/hyperlink" Target="http://pnucc.org/sites/default/files/ReservesinCapacityPlanningFinal.pdf" TargetMode="External"/><Relationship Id="rId17" Type="http://schemas.openxmlformats.org/officeDocument/2006/relationships/hyperlink" Target="http://www.nerc.com/files/2012_ProbA.pdf" TargetMode="External"/><Relationship Id="rId2" Type="http://schemas.openxmlformats.org/officeDocument/2006/relationships/hyperlink" Target="http://www.nerc.com/files/Glossary_of_Terms.pdf" TargetMode="External"/><Relationship Id="rId16" Type="http://schemas.openxmlformats.org/officeDocument/2006/relationships/hyperlink" Target="http://www.nwpp.org/" TargetMode="External"/><Relationship Id="rId1" Type="http://schemas.openxmlformats.org/officeDocument/2006/relationships/hyperlink" Target="http://www.nerc.com/pa/RAPA/ri/Pages/PlanningReserveMargin.aspx" TargetMode="External"/><Relationship Id="rId6" Type="http://schemas.openxmlformats.org/officeDocument/2006/relationships/hyperlink" Target="http://pnucc.org/sites/default/files/ReservesinCapacityPlanningFinal.pdf" TargetMode="External"/><Relationship Id="rId11" Type="http://schemas.openxmlformats.org/officeDocument/2006/relationships/hyperlink" Target="http://pse.com/aboutpse/EnergySupply/Documents/IRP_2011_chapters.pdf" TargetMode="External"/><Relationship Id="rId5" Type="http://schemas.openxmlformats.org/officeDocument/2006/relationships/hyperlink" Target="http://www.wecc.biz/library/WECC%20Documents/Publications/Power%20Supply%20Assessments/2011%20Power%20Suppy%20Assessment.pdf" TargetMode="External"/><Relationship Id="rId15" Type="http://schemas.openxmlformats.org/officeDocument/2006/relationships/hyperlink" Target="http://www.nerc.com/files/2011LTRA_Final.pdf" TargetMode="External"/><Relationship Id="rId10" Type="http://schemas.openxmlformats.org/officeDocument/2006/relationships/hyperlink" Target="http://www.portlandgeneral.com/our_company/energy_strategy/resource_planning/docs/irp_nov2009.pdf" TargetMode="External"/><Relationship Id="rId4" Type="http://schemas.openxmlformats.org/officeDocument/2006/relationships/hyperlink" Target="http://www.nerc.com/files/BAL-STD-002-0.pdf" TargetMode="External"/><Relationship Id="rId9" Type="http://schemas.openxmlformats.org/officeDocument/2006/relationships/hyperlink" Target="http://www.pacificorp.com/content/dam/pacificorp/doc/Energy_Sources/Integrated_Resource_Plan/2011IRP/2011IRP-Appendices_Vol2-FINAL.pdf" TargetMode="External"/><Relationship Id="rId14" Type="http://schemas.openxmlformats.org/officeDocument/2006/relationships/hyperlink" Target="https://rsvp.rfirst.org/BAL502RFC02/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1" Type="http://schemas.openxmlformats.org/officeDocument/2006/relationships/image" Target="media/image1.wmf"/></Relationships>
</file>

<file path=word/_rels/header6.xml.rels><?xml version="1.0" encoding="UTF-8" standalone="yes"?>
<Relationships xmlns="http://schemas.openxmlformats.org/package/2006/relationships"><Relationship Id="rId1" Type="http://schemas.openxmlformats.org/officeDocument/2006/relationships/image" Target="media/image1.wmf"/></Relationships>
</file>

<file path=word/_rels/header7.xml.rels><?xml version="1.0" encoding="UTF-8" standalone="yes"?>
<Relationships xmlns="http://schemas.openxmlformats.org/package/2006/relationships"><Relationship Id="rId1" Type="http://schemas.openxmlformats.org/officeDocument/2006/relationships/image" Target="media/image1.wmf"/></Relationships>
</file>

<file path=word/_rels/header8.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5051313EF23A4FB79E7F049D5165DC" ma:contentTypeVersion="1" ma:contentTypeDescription="Create a new document." ma:contentTypeScope="" ma:versionID="091804d1efd01d2247cd954d216434e9">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2C9BB1-B2F5-4323-8D72-365CE29542CB}"/>
</file>

<file path=customXml/itemProps2.xml><?xml version="1.0" encoding="utf-8"?>
<ds:datastoreItem xmlns:ds="http://schemas.openxmlformats.org/officeDocument/2006/customXml" ds:itemID="{71DF7CD4-FCBB-4C56-BA50-13EDA6E3019D}"/>
</file>

<file path=customXml/itemProps3.xml><?xml version="1.0" encoding="utf-8"?>
<ds:datastoreItem xmlns:ds="http://schemas.openxmlformats.org/officeDocument/2006/customXml" ds:itemID="{9BD71170-84A0-478E-BF0B-E0658E6517BA}"/>
</file>

<file path=customXml/itemProps4.xml><?xml version="1.0" encoding="utf-8"?>
<ds:datastoreItem xmlns:ds="http://schemas.openxmlformats.org/officeDocument/2006/customXml" ds:itemID="{96AE200B-DE0F-4D14-B3AE-77CF08B39148}"/>
</file>

<file path=docProps/app.xml><?xml version="1.0" encoding="utf-8"?>
<Properties xmlns="http://schemas.openxmlformats.org/officeDocument/2006/extended-properties" xmlns:vt="http://schemas.openxmlformats.org/officeDocument/2006/docPropsVTypes">
  <Template>Normal.dotm</Template>
  <TotalTime>1</TotalTime>
  <Pages>61</Pages>
  <Words>12458</Words>
  <Characters>71014</Characters>
  <Application>Microsoft Office Word</Application>
  <DocSecurity>0</DocSecurity>
  <Lines>591</Lines>
  <Paragraphs>166</Paragraphs>
  <ScaleCrop>false</ScaleCrop>
  <HeadingPairs>
    <vt:vector size="2" baseType="variant">
      <vt:variant>
        <vt:lpstr>Title</vt:lpstr>
      </vt:variant>
      <vt:variant>
        <vt:i4>1</vt:i4>
      </vt:variant>
    </vt:vector>
  </HeadingPairs>
  <TitlesOfParts>
    <vt:vector size="1" baseType="lpstr">
      <vt:lpstr/>
    </vt:vector>
  </TitlesOfParts>
  <Company>Terasen Gas Inc.</Company>
  <LinksUpToDate>false</LinksUpToDate>
  <CharactersWithSpaces>83306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Ilva Bevacqua</dc:creator>
  <cp:lastModifiedBy>Egolf, Dan</cp:lastModifiedBy>
  <cp:revision>2</cp:revision>
  <cp:lastPrinted>2015-07-17T00:48:00Z</cp:lastPrinted>
  <dcterms:created xsi:type="dcterms:W3CDTF">2015-08-07T20:24:00Z</dcterms:created>
  <dcterms:modified xsi:type="dcterms:W3CDTF">2015-08-07T20:24:00Z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0x010100D85051313EF23A4FB79E7F049D5165DC</vt:lpwstr>
  </property>
  <property fmtid="{D5CDD505-2E9C-101B-9397-08002B2CF9AE}" pid="3" name="RegulatoryBody">
    <vt:lpwstr/>
  </property>
  <property fmtid="{D5CDD505-2E9C-101B-9397-08002B2CF9AE}" pid="4" name="FromYear">
    <vt:lpwstr/>
  </property>
  <property fmtid="{D5CDD505-2E9C-101B-9397-08002B2CF9AE}" pid="5" name="RACompany">
    <vt:lpwstr/>
  </property>
  <property fmtid="{D5CDD505-2E9C-101B-9397-08002B2CF9AE}" pid="6" name="FromMonth">
    <vt:lpwstr/>
  </property>
  <property fmtid="{D5CDD505-2E9C-101B-9397-08002B2CF9AE}" pid="7" name="ToYear">
    <vt:lpwstr/>
  </property>
  <property fmtid="{D5CDD505-2E9C-101B-9397-08002B2CF9AE}" pid="8" name="ToMonth">
    <vt:lpwstr/>
  </property>
</Properties>
</file>